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黑体" w:cs="Times New Roman"/>
          <w:b/>
          <w:bCs/>
          <w:color w:val="333333"/>
          <w:kern w:val="0"/>
          <w:sz w:val="32"/>
          <w:szCs w:val="32"/>
          <w:lang w:val="en-US" w:eastAsia="zh-CN"/>
        </w:rPr>
      </w:pPr>
      <w:r>
        <w:rPr>
          <w:rFonts w:hint="default" w:ascii="Times New Roman" w:hAnsi="Times New Roman" w:eastAsia="黑体" w:cs="Times New Roman"/>
          <w:b w:val="0"/>
          <w:bCs w:val="0"/>
          <w:color w:val="333333"/>
          <w:sz w:val="32"/>
          <w:szCs w:val="32"/>
        </w:rPr>
        <w:t>附件</w:t>
      </w:r>
      <w:r>
        <w:rPr>
          <w:rFonts w:hint="eastAsia" w:ascii="Times New Roman" w:hAnsi="Times New Roman" w:eastAsia="黑体" w:cs="Times New Roman"/>
          <w:b w:val="0"/>
          <w:bCs w:val="0"/>
          <w:color w:val="333333"/>
          <w:sz w:val="32"/>
          <w:szCs w:val="32"/>
          <w:lang w:val="en-US" w:eastAsia="zh-CN"/>
        </w:rPr>
        <w:t>1</w:t>
      </w:r>
    </w:p>
    <w:p>
      <w:pPr>
        <w:widowControl/>
        <w:shd w:val="clear" w:color="auto" w:fill="FFFFFF"/>
        <w:spacing w:line="560" w:lineRule="exact"/>
        <w:jc w:val="center"/>
        <w:rPr>
          <w:rFonts w:ascii="方正小标宋简体" w:hAnsi="Times New Roman" w:eastAsia="方正小标宋简体" w:cs="Times New Roman"/>
          <w:bCs/>
          <w:color w:val="000000" w:themeColor="text1"/>
          <w:kern w:val="0"/>
          <w:sz w:val="44"/>
          <w:szCs w:val="44"/>
        </w:rPr>
      </w:pPr>
    </w:p>
    <w:p>
      <w:pPr>
        <w:widowControl/>
        <w:shd w:val="clear" w:color="auto" w:fill="FFFFFF"/>
        <w:spacing w:line="560" w:lineRule="exact"/>
        <w:jc w:val="center"/>
        <w:rPr>
          <w:rFonts w:hint="eastAsia" w:ascii="方正小标宋简体" w:hAnsi="Times New Roman" w:eastAsia="方正小标宋简体" w:cs="Times New Roman"/>
          <w:bCs/>
          <w:color w:val="000000" w:themeColor="text1"/>
          <w:kern w:val="0"/>
          <w:sz w:val="44"/>
          <w:szCs w:val="44"/>
          <w:lang w:val="en-US" w:eastAsia="zh-CN"/>
        </w:rPr>
      </w:pPr>
      <w:bookmarkStart w:id="0" w:name="OLE_LINK1"/>
      <w:r>
        <w:rPr>
          <w:rFonts w:hint="eastAsia" w:ascii="方正小标宋简体" w:hAnsi="Times New Roman" w:eastAsia="方正小标宋简体" w:cs="Times New Roman"/>
          <w:bCs/>
          <w:color w:val="000000" w:themeColor="text1"/>
          <w:kern w:val="0"/>
          <w:sz w:val="44"/>
          <w:szCs w:val="44"/>
          <w:lang w:val="en-US" w:eastAsia="zh-CN"/>
        </w:rPr>
        <w:t>白碱滩区</w:t>
      </w:r>
      <w:bookmarkEnd w:id="0"/>
      <w:r>
        <w:rPr>
          <w:rFonts w:hint="eastAsia" w:ascii="方正小标宋简体" w:hAnsi="Times New Roman" w:eastAsia="方正小标宋简体" w:cs="Times New Roman"/>
          <w:bCs/>
          <w:color w:val="000000" w:themeColor="text1"/>
          <w:kern w:val="0"/>
          <w:sz w:val="44"/>
          <w:szCs w:val="44"/>
          <w:lang w:val="en-US" w:eastAsia="zh-CN"/>
        </w:rPr>
        <w:t>住房和建设局2024年</w:t>
      </w:r>
    </w:p>
    <w:p>
      <w:pPr>
        <w:widowControl/>
        <w:shd w:val="clear" w:color="auto" w:fill="FFFFFF"/>
        <w:spacing w:line="560" w:lineRule="exact"/>
        <w:jc w:val="center"/>
        <w:rPr>
          <w:rFonts w:ascii="方正小标宋简体" w:hAnsi="Times New Roman" w:eastAsia="方正小标宋简体" w:cs="Times New Roman"/>
          <w:color w:val="000000" w:themeColor="text1"/>
          <w:kern w:val="0"/>
          <w:sz w:val="44"/>
          <w:szCs w:val="44"/>
        </w:rPr>
      </w:pPr>
      <w:r>
        <w:rPr>
          <w:rFonts w:hint="eastAsia" w:ascii="方正小标宋简体" w:hAnsi="Times New Roman" w:eastAsia="方正小标宋简体" w:cs="Times New Roman"/>
          <w:bCs/>
          <w:color w:val="000000" w:themeColor="text1"/>
          <w:kern w:val="0"/>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333333"/>
          <w:kern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依据《中华人民共和国政府信息公开条例》（国务院令第711号）和《中华人民共和国政府信息公开工作年度报告格式》（国办公开办函〔2021〕30号）要求编制本报告，所列资料数据的统计期限从202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年1月1日起至202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年12月31日止。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both"/>
        <w:textAlignment w:val="baseline"/>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2024年，</w:t>
      </w:r>
      <w:bookmarkStart w:id="1" w:name="OLE_LINK3"/>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白碱滩区</w:t>
      </w:r>
      <w:bookmarkEnd w:id="1"/>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住房和建设局高度重视政府信息公开工作，紧紧围绕我局重点工作和群众关心关注的民生热点，不断拓展公开内容、完善公开制度、严格公开审查、强化公开监督，秉持着“公开为常态，不公开为例外”原则，充分发挥政府信息对人民群众生产、生活和经济社会活动的服务作用，坚持及时、准确、规范公开政府信息，切实保障企业、群众依法获取政府信息权益。</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both"/>
        <w:textAlignment w:val="baseline"/>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2024年，我局紧紧围绕区委、区政府中心工作，依托政府门户网站政务公开平台，按照应公开、尽公开的原则，对重大项目建设、施工许可证以及行政处罚等重点领域政务信息公开，及时主动向社会推送重大项目建设、施工许可证、行政处罚、人大代表建议回复等工作信息。2024年我局主动公开各类政府信息数41条，实现了该公开的政府信息不遗漏，信息公开工作取得了明显成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both"/>
        <w:textAlignment w:val="baseline"/>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2024年度未收到政府信息公开申请，未发生政府信息公开行政复议、行政诉讼情况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政府信息管理情况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建立健全政府信息公开审查发布机制。严抓发布前审核、发布后更新，严格落实政府信息公开“三审三校”制度，明确审查的程序和责任，全面加强信息发布审核把关，有效保障信息公开的严肃性、有效性，确保信息公开内容标准化、规范化。并定期审查涉及公民身份证、银行卡号、联系方式等隐私信息是否全部模糊处理，确保政务公开依法依规、高效便民效便民。</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政府信息公开平台建设情况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白碱滩区人民政府门户网站是区住房和建设局政务信息公开渠道之一，网站建设内容包括单位职责、领导之窗、机构设置、政策文件、工作动态、政务服务、政府信息公开、依申请公开、互动交流等专栏。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监督保障情况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为切实做好信息公开工作，区住房和建设局成立由住房和建设局局长任组长、综合办负责人为副组长、各科室负责人为成员的政府信息公开工作领导小组，并明确由办公室具体推动落实信息公开工作。同时进一步完善信息发布流程，严格审查公开信息，凡是对外公开的信息由科室主任、综合办负责人和主要领导层层审核、层层把关、层层签字，确保政府信息公开发布的程序规范，内容合法合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二、主动公开政府信息情况</w:t>
      </w:r>
    </w:p>
    <w:tbl>
      <w:tblPr>
        <w:tblStyle w:val="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058"/>
        <w:gridCol w:w="1686"/>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2058" w:type="dxa"/>
            <w:noWrap/>
            <w:vAlign w:val="top"/>
          </w:tcPr>
          <w:p>
            <w:pPr>
              <w:widowControl/>
              <w:spacing w:after="144" w:line="300" w:lineRule="exact"/>
              <w:jc w:val="center"/>
              <w:rPr>
                <w:rFonts w:hint="eastAsia" w:eastAsia="宋体"/>
                <w:sz w:val="24"/>
                <w:lang w:eastAsia="zh-CN"/>
              </w:rPr>
            </w:pPr>
            <w:r>
              <w:rPr>
                <w:rFonts w:hint="eastAsia" w:ascii="宋体" w:hAnsi="宋体" w:cs="宋体"/>
                <w:kern w:val="0"/>
                <w:sz w:val="24"/>
                <w:lang w:bidi="ar"/>
              </w:rPr>
              <w:t>本年</w:t>
            </w:r>
            <w:r>
              <w:rPr>
                <w:kern w:val="0"/>
                <w:sz w:val="24"/>
                <w:lang w:bidi="ar"/>
              </w:rPr>
              <w:t>制</w:t>
            </w:r>
            <w:r>
              <w:rPr>
                <w:rFonts w:hint="eastAsia"/>
                <w:kern w:val="0"/>
                <w:sz w:val="24"/>
                <w:lang w:eastAsia="zh-CN" w:bidi="ar"/>
              </w:rPr>
              <w:t>发件数</w:t>
            </w:r>
          </w:p>
        </w:tc>
        <w:tc>
          <w:tcPr>
            <w:tcW w:w="1686" w:type="dxa"/>
            <w:noWrap w:val="0"/>
            <w:vAlign w:val="top"/>
          </w:tcPr>
          <w:p>
            <w:pPr>
              <w:widowControl/>
              <w:spacing w:after="144" w:line="300" w:lineRule="exact"/>
              <w:jc w:val="center"/>
              <w:rPr>
                <w:rFonts w:hint="eastAsia" w:eastAsia="宋体"/>
                <w:sz w:val="24"/>
                <w:lang w:eastAsia="zh-CN"/>
              </w:rPr>
            </w:pPr>
            <w:r>
              <w:rPr>
                <w:rFonts w:hint="eastAsia" w:ascii="宋体" w:hAnsi="宋体" w:cs="宋体"/>
                <w:kern w:val="0"/>
                <w:sz w:val="24"/>
                <w:lang w:bidi="ar"/>
              </w:rPr>
              <w:t>本年</w:t>
            </w:r>
            <w:r>
              <w:rPr>
                <w:rFonts w:hint="eastAsia" w:ascii="宋体" w:hAnsi="宋体" w:cs="宋体"/>
                <w:kern w:val="0"/>
                <w:sz w:val="24"/>
                <w:lang w:eastAsia="zh-CN" w:bidi="ar"/>
              </w:rPr>
              <w:t>废止件数</w:t>
            </w:r>
          </w:p>
        </w:tc>
        <w:tc>
          <w:tcPr>
            <w:tcW w:w="1881" w:type="dxa"/>
            <w:noWrap/>
            <w:vAlign w:val="top"/>
          </w:tcPr>
          <w:p>
            <w:pPr>
              <w:widowControl/>
              <w:spacing w:after="144" w:line="300" w:lineRule="exact"/>
              <w:jc w:val="center"/>
              <w:rPr>
                <w:rFonts w:hint="eastAsia" w:eastAsia="宋体"/>
                <w:sz w:val="24"/>
                <w:lang w:eastAsia="zh-CN"/>
              </w:rPr>
            </w:pPr>
            <w:r>
              <w:rPr>
                <w:rFonts w:hint="eastAsia"/>
                <w:sz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规章</w:t>
            </w:r>
          </w:p>
        </w:tc>
        <w:tc>
          <w:tcPr>
            <w:tcW w:w="2058" w:type="dxa"/>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686" w:type="dxa"/>
            <w:noWrap w:val="0"/>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881" w:type="dxa"/>
            <w:noWrap/>
            <w:vAlign w:val="top"/>
          </w:tcPr>
          <w:p>
            <w:pPr>
              <w:widowControl/>
              <w:spacing w:after="144" w:line="300" w:lineRule="exact"/>
              <w:jc w:val="center"/>
              <w:rPr>
                <w:rFonts w:hint="default" w:eastAsiaTheme="minorEastAsia"/>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规范性文件</w:t>
            </w:r>
          </w:p>
        </w:tc>
        <w:tc>
          <w:tcPr>
            <w:tcW w:w="2058" w:type="dxa"/>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686" w:type="dxa"/>
            <w:noWrap w:val="0"/>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c>
          <w:tcPr>
            <w:tcW w:w="1881" w:type="dxa"/>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5625" w:type="dxa"/>
            <w:gridSpan w:val="3"/>
            <w:noWrap/>
            <w:vAlign w:val="top"/>
          </w:tcPr>
          <w:p>
            <w:pPr>
              <w:widowControl/>
              <w:spacing w:after="144" w:line="300" w:lineRule="exact"/>
              <w:jc w:val="center"/>
              <w:rPr>
                <w:rFonts w:hint="eastAsia" w:eastAsia="宋体"/>
                <w:sz w:val="24"/>
                <w:lang w:eastAsia="zh-CN"/>
              </w:rPr>
            </w:pPr>
            <w:r>
              <w:rPr>
                <w:rFonts w:hint="eastAsia"/>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行政许可</w:t>
            </w:r>
          </w:p>
        </w:tc>
        <w:tc>
          <w:tcPr>
            <w:tcW w:w="5625" w:type="dxa"/>
            <w:gridSpan w:val="3"/>
            <w:noWrap/>
            <w:vAlign w:val="top"/>
          </w:tcPr>
          <w:p>
            <w:pPr>
              <w:widowControl/>
              <w:spacing w:after="144" w:line="300" w:lineRule="exact"/>
              <w:jc w:val="center"/>
              <w:rPr>
                <w:rFonts w:hint="default" w:eastAsiaTheme="minorEastAsia"/>
                <w:sz w:val="24"/>
                <w:lang w:val="en-US" w:eastAsia="zh-CN"/>
              </w:rPr>
            </w:pPr>
            <w:r>
              <w:rPr>
                <w:rFonts w:hint="eastAsia"/>
                <w:sz w:val="24"/>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5625" w:type="dxa"/>
            <w:gridSpan w:val="3"/>
            <w:noWrap/>
            <w:vAlign w:val="top"/>
          </w:tcPr>
          <w:p>
            <w:pPr>
              <w:widowControl/>
              <w:spacing w:after="144" w:line="300" w:lineRule="exact"/>
              <w:jc w:val="center"/>
              <w:rPr>
                <w:sz w:val="24"/>
              </w:rPr>
            </w:pPr>
            <w:r>
              <w:rPr>
                <w:rFonts w:hint="eastAsia"/>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行政处罚</w:t>
            </w:r>
          </w:p>
        </w:tc>
        <w:tc>
          <w:tcPr>
            <w:tcW w:w="5625" w:type="dxa"/>
            <w:gridSpan w:val="3"/>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行政强制</w:t>
            </w:r>
          </w:p>
        </w:tc>
        <w:tc>
          <w:tcPr>
            <w:tcW w:w="5625" w:type="dxa"/>
            <w:gridSpan w:val="3"/>
            <w:noWrap/>
            <w:vAlign w:val="top"/>
          </w:tcPr>
          <w:p>
            <w:pPr>
              <w:widowControl/>
              <w:spacing w:after="144" w:line="300" w:lineRule="exact"/>
              <w:jc w:val="center"/>
              <w:rPr>
                <w:rFonts w:hint="eastAsia" w:eastAsiaTheme="minorEastAsia"/>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472" w:type="dxa"/>
            <w:gridSpan w:val="4"/>
            <w:noWrap/>
            <w:vAlign w:val="top"/>
          </w:tcPr>
          <w:p>
            <w:pPr>
              <w:widowControl/>
              <w:spacing w:after="144" w:line="300" w:lineRule="exact"/>
              <w:jc w:val="center"/>
              <w:rPr>
                <w:sz w:val="24"/>
              </w:rPr>
            </w:pPr>
            <w:r>
              <w:rPr>
                <w:rFonts w:hint="eastAsia" w:ascii="宋体" w:hAnsi="宋体" w:cs="宋体"/>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47" w:type="dxa"/>
            <w:noWrap/>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5625" w:type="dxa"/>
            <w:gridSpan w:val="3"/>
            <w:noWrap/>
            <w:vAlign w:val="top"/>
          </w:tcPr>
          <w:p>
            <w:pPr>
              <w:widowControl/>
              <w:spacing w:after="144" w:line="300" w:lineRule="exact"/>
              <w:jc w:val="center"/>
              <w:rPr>
                <w:sz w:val="24"/>
              </w:rPr>
            </w:pPr>
            <w:r>
              <w:rPr>
                <w:rFonts w:hint="eastAsia"/>
                <w:sz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847" w:type="dxa"/>
            <w:noWrap/>
            <w:vAlign w:val="top"/>
          </w:tcPr>
          <w:p>
            <w:pPr>
              <w:widowControl/>
              <w:spacing w:after="144" w:line="300" w:lineRule="exact"/>
              <w:jc w:val="left"/>
              <w:rPr>
                <w:sz w:val="24"/>
              </w:rPr>
            </w:pPr>
            <w:r>
              <w:rPr>
                <w:rFonts w:hint="eastAsia" w:ascii="宋体" w:hAnsi="宋体" w:cs="宋体"/>
                <w:kern w:val="0"/>
                <w:sz w:val="24"/>
                <w:lang w:bidi="ar"/>
              </w:rPr>
              <w:t>行政事业性收费</w:t>
            </w:r>
          </w:p>
        </w:tc>
        <w:tc>
          <w:tcPr>
            <w:tcW w:w="5625" w:type="dxa"/>
            <w:gridSpan w:val="3"/>
            <w:noWrap/>
            <w:vAlign w:val="top"/>
          </w:tcPr>
          <w:p>
            <w:pPr>
              <w:widowControl/>
              <w:spacing w:after="144" w:line="300" w:lineRule="exact"/>
              <w:jc w:val="center"/>
              <w:rPr>
                <w:rFonts w:hint="default" w:eastAsiaTheme="minorEastAsia"/>
                <w:sz w:val="24"/>
                <w:lang w:val="en-US" w:eastAsia="zh-CN"/>
              </w:rPr>
            </w:pPr>
            <w:r>
              <w:rPr>
                <w:rFonts w:hint="eastAsia"/>
                <w:sz w:val="24"/>
                <w:lang w:val="en-US" w:eastAsia="zh-CN"/>
              </w:rPr>
              <w:t>626.4331</w:t>
            </w:r>
          </w:p>
        </w:tc>
      </w:tr>
    </w:tbl>
    <w:p>
      <w:pPr>
        <w:widowControl/>
        <w:shd w:val="clear" w:color="auto" w:fill="FFFFFF"/>
        <w:spacing w:line="560" w:lineRule="exact"/>
        <w:ind w:firstLine="640" w:firstLineChars="200"/>
        <w:rPr>
          <w:rFonts w:hint="eastAsia" w:ascii="黑体" w:hAnsi="黑体" w:eastAsia="黑体" w:cs="宋体"/>
          <w:bCs/>
          <w:color w:val="333333"/>
          <w:kern w:val="0"/>
          <w:sz w:val="32"/>
          <w:szCs w:val="32"/>
        </w:rPr>
      </w:pPr>
    </w:p>
    <w:p>
      <w:pPr>
        <w:widowControl/>
        <w:shd w:val="clear" w:color="auto" w:fill="FFFFFF"/>
        <w:spacing w:line="560" w:lineRule="exact"/>
        <w:ind w:firstLine="640" w:firstLineChars="200"/>
        <w:rPr>
          <w:rFonts w:hint="eastAsia" w:ascii="黑体" w:hAnsi="黑体" w:eastAsia="黑体" w:cs="宋体"/>
          <w:bCs/>
          <w:color w:val="333333"/>
          <w:kern w:val="0"/>
          <w:sz w:val="32"/>
          <w:szCs w:val="32"/>
        </w:rPr>
      </w:pPr>
    </w:p>
    <w:p>
      <w:pPr>
        <w:widowControl/>
        <w:shd w:val="clear" w:color="auto" w:fill="FFFFFF"/>
        <w:spacing w:line="56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三、收到和处理政府信息公开申请情况</w:t>
      </w:r>
    </w:p>
    <w:tbl>
      <w:tblPr>
        <w:tblStyle w:val="5"/>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6"/>
        <w:gridCol w:w="936"/>
        <w:gridCol w:w="2756"/>
        <w:gridCol w:w="456"/>
        <w:gridCol w:w="652"/>
        <w:gridCol w:w="656"/>
        <w:gridCol w:w="655"/>
        <w:gridCol w:w="656"/>
        <w:gridCol w:w="464"/>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43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（本列数据的勾稽关系为：第一项加第二项之和，等于第三项加第四项之和）</w:t>
            </w:r>
          </w:p>
        </w:tc>
        <w:tc>
          <w:tcPr>
            <w:tcW w:w="3995"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8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自然人</w:t>
            </w:r>
          </w:p>
        </w:tc>
        <w:tc>
          <w:tcPr>
            <w:tcW w:w="3083"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法人或其他组织</w:t>
            </w: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4388"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商业企业</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科研机构</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社会公益组织</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法律服务机构</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其他</w:t>
            </w: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sz w:val="24"/>
              </w:rPr>
            </w:pPr>
            <w:r>
              <w:rPr>
                <w:rFonts w:hint="eastAsia" w:ascii="宋体" w:hAnsi="宋体" w:cs="宋体"/>
                <w:kern w:val="0"/>
                <w:sz w:val="24"/>
                <w:lang w:bidi="ar"/>
              </w:rPr>
              <w:t>一、本年新收政府信息公开申请数量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Theme="minorEastAsia"/>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sz w:val="24"/>
              </w:rPr>
            </w:pPr>
            <w:r>
              <w:rPr>
                <w:rFonts w:hint="eastAsia" w:ascii="宋体" w:hAnsi="宋体" w:cs="宋体"/>
                <w:kern w:val="0"/>
                <w:sz w:val="24"/>
                <w:lang w:bidi="ar"/>
              </w:rPr>
              <w:t>二、上年结转政府信息公开申请数量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HAnsi" w:hAnsiTheme="minorHAnsi" w:eastAsiaTheme="minorEastAsia" w:cstheme="minorBidi"/>
                <w:kern w:val="2"/>
                <w:sz w:val="24"/>
                <w:szCs w:val="22"/>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69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kern w:val="0"/>
                <w:sz w:val="24"/>
                <w:lang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ascii="宋体" w:hAnsi="宋体" w:cs="宋体"/>
                <w:kern w:val="0"/>
                <w:sz w:val="24"/>
                <w:lang w:bidi="ar"/>
              </w:rPr>
              <w:t>三、本年度办理结果</w:t>
            </w:r>
          </w:p>
        </w:tc>
        <w:tc>
          <w:tcPr>
            <w:tcW w:w="369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（一）予以公开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369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（二）部分公开（区分处理的，只计这一情形，不计其他情形）</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（三）不予公开</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1.属于国家秘密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2.其他法律行政法规禁止公开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3.危及“三安全一稳定”</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4.保护第三方合法权益</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5.属于三类内部事务信息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6.属于四类过程性信息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7.属于行政执法案卷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8.属于行政查询事项</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1</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（四）无法提供</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1.本机关不掌握相关政府信息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2.没有现成信息需要另行制作</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3.补正后申请内容仍不明确</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（五）不予处理</w:t>
            </w: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1.信访举报投诉类申请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heme="minorHAnsi" w:hAnsiTheme="minorHAnsi" w:eastAsiaTheme="minorEastAsia" w:cstheme="minorBidi"/>
                <w:kern w:val="2"/>
                <w:sz w:val="24"/>
                <w:szCs w:val="22"/>
                <w:lang w:val="en-US" w:eastAsia="zh-CN" w:bidi="ar-SA"/>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2.重复申请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3.要求提供公开出版物</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4.无正当理由大量反复申请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tcBorders>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tcBorders>
              <w:bottom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5.要求行政机关确认或重新出具已获取信息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（六）其他处理</w:t>
            </w:r>
          </w:p>
        </w:tc>
        <w:tc>
          <w:tcPr>
            <w:tcW w:w="2756" w:type="dxa"/>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kern w:val="0"/>
                <w:sz w:val="24"/>
                <w:lang w:val="en-US" w:eastAsia="zh-CN" w:bidi="ar"/>
              </w:rPr>
            </w:pPr>
            <w:r>
              <w:rPr>
                <w:rFonts w:hint="eastAsia" w:ascii="宋体" w:hAnsi="宋体" w:cs="宋体"/>
                <w:kern w:val="0"/>
                <w:sz w:val="24"/>
                <w:lang w:val="en-US" w:eastAsia="zh-CN" w:bidi="ar"/>
              </w:rPr>
              <w:t>1.申请人无正当理由逾期不补正、行政机关不再处理其政府信息公开申请</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6" w:hRule="atLeast"/>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kern w:val="0"/>
                <w:sz w:val="24"/>
                <w:lang w:val="en-US" w:eastAsia="zh-CN" w:bidi="ar"/>
              </w:rPr>
            </w:pPr>
            <w:r>
              <w:rPr>
                <w:rFonts w:hint="eastAsia" w:ascii="宋体" w:hAnsi="宋体" w:cs="宋体"/>
                <w:kern w:val="0"/>
                <w:sz w:val="24"/>
                <w:lang w:val="en-US" w:eastAsia="zh-CN" w:bidi="ar"/>
              </w:rPr>
              <w:t>2.申请人逾期未按收费通知要求缴纳费用、行政机关不再处理其政府信息公开申请</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696" w:type="dxa"/>
            <w:vMerge w:val="continue"/>
            <w:tcBorders>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936"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2756" w:type="dxa"/>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cs="宋体"/>
                <w:kern w:val="0"/>
                <w:sz w:val="24"/>
                <w:lang w:val="en-US" w:eastAsia="zh-CN" w:bidi="ar"/>
              </w:rPr>
            </w:pPr>
            <w:r>
              <w:rPr>
                <w:rFonts w:hint="eastAsia" w:ascii="宋体" w:hAnsi="宋体" w:cs="宋体"/>
                <w:kern w:val="0"/>
                <w:sz w:val="24"/>
                <w:lang w:val="en-US" w:eastAsia="zh-CN" w:bidi="ar"/>
              </w:rPr>
              <w:t>3.其他</w:t>
            </w:r>
          </w:p>
        </w:tc>
        <w:tc>
          <w:tcPr>
            <w:tcW w:w="456" w:type="dxa"/>
            <w:tcBorders>
              <w:lef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cs="Calibri"/>
                <w:kern w:val="0"/>
                <w:sz w:val="24"/>
                <w:lang w:bidi="ar"/>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9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sz w:val="24"/>
              </w:rPr>
            </w:pPr>
          </w:p>
        </w:tc>
        <w:tc>
          <w:tcPr>
            <w:tcW w:w="3692" w:type="dxa"/>
            <w:gridSpan w:val="2"/>
            <w:tcBorders>
              <w:top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（七）总计</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1</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sz w:val="24"/>
                <w:lang w:val="en-US"/>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38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sz w:val="24"/>
              </w:rPr>
            </w:pPr>
            <w:r>
              <w:rPr>
                <w:rFonts w:hint="eastAsia" w:ascii="宋体" w:hAnsi="宋体" w:cs="宋体"/>
                <w:kern w:val="0"/>
                <w:sz w:val="24"/>
                <w:lang w:bidi="ar"/>
              </w:rPr>
              <w:t>四、结转下年度继续办理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6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64"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sz w:val="24"/>
              </w:rPr>
            </w:pPr>
            <w:r>
              <w:rPr>
                <w:rFonts w:hint="eastAsia"/>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sz w:val="24"/>
              </w:rPr>
            </w:pPr>
            <w:r>
              <w:rPr>
                <w:rFonts w:hint="eastAsia"/>
                <w:sz w:val="24"/>
                <w:lang w:val="en-US" w:eastAsia="zh-CN"/>
              </w:rPr>
              <w:t>0</w:t>
            </w:r>
          </w:p>
        </w:tc>
      </w:tr>
    </w:tbl>
    <w:p>
      <w:pPr>
        <w:widowControl/>
        <w:shd w:val="clear" w:color="auto" w:fill="FFFFFF"/>
        <w:spacing w:line="560" w:lineRule="exact"/>
        <w:ind w:firstLine="640" w:firstLineChars="200"/>
        <w:rPr>
          <w:rFonts w:ascii="黑体" w:hAnsi="黑体" w:eastAsia="黑体" w:cs="宋体"/>
          <w:bCs/>
          <w:color w:val="333333"/>
          <w:kern w:val="0"/>
          <w:sz w:val="32"/>
          <w:szCs w:val="32"/>
        </w:rPr>
      </w:pPr>
    </w:p>
    <w:p>
      <w:pPr>
        <w:widowControl/>
        <w:shd w:val="clear" w:color="auto" w:fill="FFFFFF"/>
        <w:spacing w:line="560" w:lineRule="exact"/>
        <w:ind w:firstLine="640" w:firstLineChars="200"/>
        <w:rPr>
          <w:rFonts w:ascii="宋体" w:hAnsi="宋体" w:eastAsia="宋体" w:cs="宋体"/>
          <w:color w:val="333333"/>
          <w:kern w:val="0"/>
          <w:sz w:val="24"/>
          <w:szCs w:val="24"/>
        </w:rPr>
      </w:pPr>
      <w:r>
        <w:rPr>
          <w:rFonts w:hint="eastAsia" w:ascii="黑体" w:hAnsi="黑体" w:eastAsia="黑体" w:cs="宋体"/>
          <w:bCs/>
          <w:color w:val="333333"/>
          <w:kern w:val="0"/>
          <w:sz w:val="32"/>
          <w:szCs w:val="32"/>
        </w:rPr>
        <w:t>四、政府信息公开行政复议、行政诉讼情况</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495"/>
        <w:gridCol w:w="510"/>
        <w:gridCol w:w="495"/>
        <w:gridCol w:w="555"/>
        <w:gridCol w:w="570"/>
        <w:gridCol w:w="525"/>
        <w:gridCol w:w="645"/>
        <w:gridCol w:w="555"/>
        <w:gridCol w:w="675"/>
        <w:gridCol w:w="645"/>
        <w:gridCol w:w="600"/>
        <w:gridCol w:w="600"/>
        <w:gridCol w:w="60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255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行政复议</w:t>
            </w:r>
          </w:p>
        </w:tc>
        <w:tc>
          <w:tcPr>
            <w:tcW w:w="5947"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50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结果维持</w:t>
            </w:r>
          </w:p>
        </w:tc>
        <w:tc>
          <w:tcPr>
            <w:tcW w:w="4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结果纠正</w:t>
            </w:r>
          </w:p>
        </w:tc>
        <w:tc>
          <w:tcPr>
            <w:tcW w:w="510"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其他结果</w:t>
            </w:r>
          </w:p>
        </w:tc>
        <w:tc>
          <w:tcPr>
            <w:tcW w:w="49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尚未审结</w:t>
            </w:r>
          </w:p>
        </w:tc>
        <w:tc>
          <w:tcPr>
            <w:tcW w:w="55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r>
              <w:rPr>
                <w:rFonts w:hint="eastAsia" w:ascii="宋体" w:hAnsi="宋体" w:cs="宋体"/>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计</w:t>
            </w:r>
          </w:p>
        </w:tc>
        <w:tc>
          <w:tcPr>
            <w:tcW w:w="297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未经复议直接起诉</w:t>
            </w:r>
          </w:p>
        </w:tc>
        <w:tc>
          <w:tcPr>
            <w:tcW w:w="297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4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510"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49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55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cs="宋体"/>
                <w:kern w:val="0"/>
                <w:sz w:val="24"/>
                <w:lang w:bidi="ar"/>
              </w:rPr>
            </w:pP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结果维持</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结果纠正</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bidi="ar"/>
              </w:rPr>
              <w:t>其他结果</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尚未审结</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宋体" w:hAnsi="宋体" w:eastAsia="宋体" w:cs="宋体"/>
                <w:kern w:val="0"/>
                <w:sz w:val="24"/>
                <w:lang w:val="en-US" w:eastAsia="zh-CN" w:bidi="ar"/>
              </w:rPr>
            </w:pPr>
            <w:r>
              <w:rPr>
                <w:rFonts w:hint="eastAsia" w:ascii="宋体" w:hAnsi="宋体" w:cs="宋体"/>
                <w:kern w:val="0"/>
                <w:sz w:val="24"/>
                <w:lang w:bidi="ar"/>
              </w:rPr>
              <w:t>总</w:t>
            </w:r>
            <w:r>
              <w:rPr>
                <w:rFonts w:hint="eastAsia" w:ascii="宋体" w:hAnsi="宋体" w:cs="宋体"/>
                <w:kern w:val="0"/>
                <w:sz w:val="24"/>
                <w:lang w:val="en-US" w:eastAsia="zh-CN" w:bidi="ar"/>
              </w:rPr>
              <w:t xml:space="preserve"> </w:t>
            </w:r>
            <w:r>
              <w:rPr>
                <w:rFonts w:hint="eastAsia" w:ascii="宋体" w:hAnsi="宋体" w:cs="宋体"/>
                <w:kern w:val="0"/>
                <w:sz w:val="24"/>
                <w:lang w:bidi="ar"/>
              </w:rPr>
              <w:t>计</w:t>
            </w:r>
            <w:r>
              <w:rPr>
                <w:rFonts w:hint="eastAsia" w:ascii="宋体" w:hAnsi="宋体" w:cs="宋体"/>
                <w:kern w:val="0"/>
                <w:sz w:val="24"/>
                <w:lang w:val="en-US" w:eastAsia="zh-CN" w:bidi="ar"/>
              </w:rPr>
              <w:t xml:space="preserve">   </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结果维持</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结果纠正</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其他结果</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尚未审结</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cs="宋体"/>
                <w:kern w:val="0"/>
                <w:sz w:val="24"/>
                <w:lang w:bidi="ar"/>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0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1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4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eastAsia="zh-CN" w:bidi="ar"/>
              </w:rPr>
            </w:pPr>
            <w:r>
              <w:rPr>
                <w:rFonts w:hint="eastAsia" w:ascii="宋体" w:hAnsi="宋体" w:cs="宋体"/>
                <w:kern w:val="0"/>
                <w:sz w:val="24"/>
                <w:lang w:eastAsia="zh-CN" w:bidi="ar"/>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5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eastAsia="zh-CN" w:bidi="ar"/>
              </w:rPr>
            </w:pPr>
            <w:r>
              <w:rPr>
                <w:rFonts w:hint="eastAsia" w:ascii="宋体" w:hAnsi="宋体" w:cs="宋体"/>
                <w:kern w:val="0"/>
                <w:sz w:val="24"/>
                <w:lang w:eastAsia="zh-CN" w:bidi="ar"/>
              </w:rPr>
              <w:t>0</w:t>
            </w:r>
          </w:p>
        </w:tc>
        <w:tc>
          <w:tcPr>
            <w:tcW w:w="64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4"/>
                <w:lang w:bidi="ar"/>
              </w:rPr>
            </w:pPr>
            <w:r>
              <w:rPr>
                <w:rFonts w:hint="eastAsia" w:ascii="宋体" w:hAnsi="宋体" w:cs="宋体"/>
                <w:kern w:val="0"/>
                <w:sz w:val="24"/>
                <w:lang w:val="en-US" w:eastAsia="zh-CN" w:bidi="ar"/>
              </w:rPr>
              <w:t>0</w:t>
            </w:r>
          </w:p>
        </w:tc>
        <w:tc>
          <w:tcPr>
            <w:tcW w:w="6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eastAsiaTheme="minorEastAsia"/>
                <w:kern w:val="0"/>
                <w:sz w:val="24"/>
                <w:lang w:val="en-US" w:eastAsia="zh-CN" w:bidi="ar"/>
              </w:rPr>
            </w:pPr>
            <w:r>
              <w:rPr>
                <w:rFonts w:hint="eastAsia" w:ascii="宋体" w:hAnsi="宋体" w:cs="宋体"/>
                <w:kern w:val="0"/>
                <w:sz w:val="24"/>
                <w:lang w:val="en-US" w:eastAsia="zh-CN" w:bidi="ar"/>
              </w:rPr>
              <w:t>0</w:t>
            </w:r>
          </w:p>
        </w:tc>
      </w:tr>
    </w:tbl>
    <w:p>
      <w:pPr>
        <w:widowControl/>
        <w:spacing w:line="560" w:lineRule="exact"/>
        <w:jc w:val="left"/>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333333"/>
          <w:kern w:val="0"/>
          <w:sz w:val="32"/>
          <w:szCs w:val="32"/>
        </w:rPr>
      </w:pPr>
      <w:r>
        <w:rPr>
          <w:rFonts w:hint="eastAsia" w:ascii="黑体" w:hAnsi="黑体" w:eastAsia="黑体" w:cs="宋体"/>
          <w:bCs/>
          <w:color w:val="333333"/>
          <w:kern w:val="0"/>
          <w:sz w:val="32"/>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（一）主要问题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shd w:val="clear" w:fill="FFFFFF"/>
          <w:lang w:val="en-US" w:eastAsia="zh-CN"/>
        </w:rPr>
        <w:t>一是公开的内容较为单一，公开的类型和内容的覆盖面不够全面，对其他信息公开不“敏感”，缺少公开意识。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000000"/>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000000"/>
          <w:spacing w:val="0"/>
          <w:sz w:val="32"/>
          <w:szCs w:val="32"/>
          <w:shd w:val="clear" w:fill="FFFFFF"/>
          <w:lang w:val="en-US" w:eastAsia="zh-CN"/>
        </w:rPr>
        <w:t>二是部分公开信息时间较为滞后，没有在第一时间完成公开工作。</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下一步计划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一是加大信息公开力度，围绕我局重点工作进行宣传报道，有效利用政府平台，做好政府信息的发布、更新工作。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caps w:val="0"/>
          <w:color w:val="000000"/>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000000"/>
          <w:spacing w:val="0"/>
          <w:sz w:val="32"/>
          <w:szCs w:val="32"/>
          <w:shd w:val="clear" w:fill="FFFFFF"/>
          <w:lang w:val="en-US" w:eastAsia="zh-CN"/>
        </w:rPr>
        <w:t>二是加强对政府信息的敏感度，对各类信息做到公开及时，提高公众对政府信息公开的知晓率和参与度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宋体"/>
          <w:color w:val="333333"/>
          <w:kern w:val="0"/>
          <w:sz w:val="32"/>
          <w:szCs w:val="32"/>
        </w:rPr>
      </w:pPr>
      <w:r>
        <w:rPr>
          <w:rFonts w:hint="eastAsia" w:ascii="黑体" w:hAnsi="黑体" w:eastAsia="黑体" w:cs="宋体"/>
          <w:bCs/>
          <w:color w:val="333333"/>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rPr>
        <w:t>依据《国务院办公厅关于印发</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shd w:val="clear" w:fill="FFFFFF"/>
        </w:rPr>
        <w:t>政府信息公开信息处理费管理办法</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shd w:val="clear" w:fill="FFFFFF"/>
        </w:rPr>
        <w:t>的通知》（国办函〔2020〕109号），202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Times New Roman" w:hAnsi="Times New Roman" w:eastAsia="仿宋_GB2312" w:cs="Times New Roman"/>
          <w:i w:val="0"/>
          <w:iCs w:val="0"/>
          <w:caps w:val="0"/>
          <w:color w:val="000000"/>
          <w:spacing w:val="0"/>
          <w:sz w:val="32"/>
          <w:szCs w:val="32"/>
          <w:shd w:val="clear" w:fill="FFFFFF"/>
        </w:rPr>
        <w:t>年</w:t>
      </w:r>
      <w:r>
        <w:rPr>
          <w:rFonts w:hint="eastAsia" w:ascii="Times New Roman" w:hAnsi="Times New Roman" w:eastAsia="仿宋_GB2312" w:cs="Times New Roman"/>
          <w:i w:val="0"/>
          <w:iCs w:val="0"/>
          <w:caps w:val="0"/>
          <w:color w:val="000000"/>
          <w:spacing w:val="0"/>
          <w:sz w:val="32"/>
          <w:szCs w:val="32"/>
          <w:shd w:val="clear" w:fill="FFFFFF"/>
          <w:lang w:val="en-US" w:eastAsia="zh-CN"/>
        </w:rPr>
        <w:t>区住房和建设局未收取政府信息公开信息处理费。</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4160" w:firstLineChars="1300"/>
        <w:jc w:val="right"/>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白碱滩区住房和建设局</w:t>
      </w:r>
    </w:p>
    <w:p>
      <w:pPr>
        <w:keepNext w:val="0"/>
        <w:keepLines w:val="0"/>
        <w:pageBreakBefore w:val="0"/>
        <w:kinsoku/>
        <w:wordWrap/>
        <w:overflowPunct/>
        <w:topLinePunct w:val="0"/>
        <w:autoSpaceDE/>
        <w:autoSpaceDN/>
        <w:bidi w:val="0"/>
        <w:adjustRightInd/>
        <w:snapToGrid/>
        <w:spacing w:line="560" w:lineRule="exact"/>
        <w:ind w:firstLine="5120" w:firstLineChars="1600"/>
        <w:jc w:val="right"/>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2025</w:t>
      </w:r>
      <w:bookmarkStart w:id="2" w:name="_GoBack"/>
      <w:bookmarkEnd w:id="2"/>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年1月3日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333333"/>
          <w:spacing w:val="0"/>
          <w:sz w:val="24"/>
          <w:szCs w:val="24"/>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91145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16A6A"/>
    <w:multiLevelType w:val="singleLevel"/>
    <w:tmpl w:val="10816A6A"/>
    <w:lvl w:ilvl="0" w:tentative="0">
      <w:start w:val="2"/>
      <w:numFmt w:val="chineseCounting"/>
      <w:suff w:val="nothing"/>
      <w:lvlText w:val="（%1）"/>
      <w:lvlJc w:val="left"/>
      <w:rPr>
        <w:rFonts w:hint="eastAsia"/>
      </w:rPr>
    </w:lvl>
  </w:abstractNum>
  <w:abstractNum w:abstractNumId="1">
    <w:nsid w:val="512BB1B9"/>
    <w:multiLevelType w:val="singleLevel"/>
    <w:tmpl w:val="512BB1B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4664"/>
    <w:rsid w:val="0003152C"/>
    <w:rsid w:val="00063CF8"/>
    <w:rsid w:val="000737C7"/>
    <w:rsid w:val="000D6543"/>
    <w:rsid w:val="000D79DF"/>
    <w:rsid w:val="001B5B1D"/>
    <w:rsid w:val="001B7C2F"/>
    <w:rsid w:val="001E618B"/>
    <w:rsid w:val="00283295"/>
    <w:rsid w:val="002F0EE3"/>
    <w:rsid w:val="003B0032"/>
    <w:rsid w:val="004B3180"/>
    <w:rsid w:val="00501C92"/>
    <w:rsid w:val="005D5256"/>
    <w:rsid w:val="00643EA4"/>
    <w:rsid w:val="00685C2D"/>
    <w:rsid w:val="006A4664"/>
    <w:rsid w:val="00737D04"/>
    <w:rsid w:val="007A27BF"/>
    <w:rsid w:val="007A4A7C"/>
    <w:rsid w:val="007C1137"/>
    <w:rsid w:val="007E3E41"/>
    <w:rsid w:val="007F0911"/>
    <w:rsid w:val="00817E46"/>
    <w:rsid w:val="0085486B"/>
    <w:rsid w:val="00854C32"/>
    <w:rsid w:val="00875BD9"/>
    <w:rsid w:val="009D124A"/>
    <w:rsid w:val="00A424C7"/>
    <w:rsid w:val="00AA5F73"/>
    <w:rsid w:val="00C141D6"/>
    <w:rsid w:val="00CA14DD"/>
    <w:rsid w:val="00D2451D"/>
    <w:rsid w:val="00E00C2B"/>
    <w:rsid w:val="00E469CB"/>
    <w:rsid w:val="00F304FF"/>
    <w:rsid w:val="00F6073B"/>
    <w:rsid w:val="00F71C23"/>
    <w:rsid w:val="00FF2BC9"/>
    <w:rsid w:val="08AB0F85"/>
    <w:rsid w:val="10941CB7"/>
    <w:rsid w:val="1D4535A2"/>
    <w:rsid w:val="27DD0AB3"/>
    <w:rsid w:val="29BC2AA0"/>
    <w:rsid w:val="447A41FD"/>
    <w:rsid w:val="452B1BBA"/>
    <w:rsid w:val="553C145F"/>
    <w:rsid w:val="56640286"/>
    <w:rsid w:val="57522B3C"/>
    <w:rsid w:val="5DEC61DC"/>
    <w:rsid w:val="605E0CE8"/>
    <w:rsid w:val="68022565"/>
    <w:rsid w:val="6D9C1394"/>
    <w:rsid w:val="7E382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11</Pages>
  <Words>416</Words>
  <Characters>440</Characters>
  <Lines>9</Lines>
  <Paragraphs>2</Paragraphs>
  <TotalTime>7</TotalTime>
  <ScaleCrop>false</ScaleCrop>
  <LinksUpToDate>false</LinksUpToDate>
  <CharactersWithSpaces>440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2019-12-04T10:32:00Z</dcterms:created>
  <dc:creator>IT Division</dc:creator>
  <cp:lastModifiedBy>Zjj</cp:lastModifiedBy>
  <cp:lastPrinted>2025-01-02T08:19:00Z</cp:lastPrinted>
  <dcterms:modified xsi:type="dcterms:W3CDTF">2025-01-07T02:28:36Z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3636E19CF0314C78B5DA488F38E67E22_12</vt:lpwstr>
  </property>
  <property fmtid="{D5CDD505-2E9C-101B-9397-08002B2CF9AE}" pid="4" name="KSOTemplateDocerSaveRecord">
    <vt:lpwstr>eyJoZGlkIjoiZWMzNjRkNTBlMDcyMGYzZWE2ZGZjZGJhNDYzYTg2OGYiLCJ1c2VySWQiOiIyMzkyNzg2MzEifQ==</vt:lpwstr>
  </property>
</Properties>
</file>