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白碱滩区城市管理局</w:t>
      </w:r>
      <w:r>
        <w:rPr>
          <w:rFonts w:hint="eastAsia" w:ascii="方正小标宋简体" w:hAnsi="方正小标宋简体" w:eastAsia="方正小标宋简体" w:cs="方正小标宋简体"/>
          <w:b w:val="0"/>
          <w:bCs w:val="0"/>
          <w:i w:val="0"/>
          <w:iCs w:val="0"/>
          <w:caps w:val="0"/>
          <w:color w:val="auto"/>
          <w:spacing w:val="0"/>
          <w:sz w:val="44"/>
          <w:szCs w:val="44"/>
        </w:rPr>
        <w:t>2024</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年度</w:t>
      </w:r>
      <w:r>
        <w:rPr>
          <w:rFonts w:hint="eastAsia" w:ascii="方正小标宋简体" w:hAnsi="方正小标宋简体" w:eastAsia="方正小标宋简体" w:cs="方正小标宋简体"/>
          <w:b w:val="0"/>
          <w:bCs w:val="0"/>
          <w:i w:val="0"/>
          <w:iCs w:val="0"/>
          <w:caps w:val="0"/>
          <w:color w:val="auto"/>
          <w:spacing w:val="0"/>
          <w:sz w:val="44"/>
          <w:szCs w:val="44"/>
        </w:rPr>
        <w:t>法治政府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建设</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工作</w:t>
      </w:r>
      <w:r>
        <w:rPr>
          <w:rFonts w:hint="eastAsia" w:ascii="方正小标宋简体" w:hAnsi="方正小标宋简体" w:eastAsia="方正小标宋简体" w:cs="方正小标宋简体"/>
          <w:b w:val="0"/>
          <w:bCs w:val="0"/>
          <w:i w:val="0"/>
          <w:iCs w:val="0"/>
          <w:caps w:val="0"/>
          <w:color w:val="auto"/>
          <w:spacing w:val="0"/>
          <w:sz w:val="44"/>
          <w:szCs w:val="44"/>
        </w:rPr>
        <w:t>报告</w:t>
      </w:r>
    </w:p>
    <w:p>
      <w:pPr>
        <w:rPr>
          <w:rFonts w:hint="eastAsia"/>
          <w:szCs w:val="21"/>
        </w:rPr>
      </w:pPr>
    </w:p>
    <w:p>
      <w:pPr>
        <w:rPr>
          <w:rFonts w:hint="eastAsia" w:ascii="楷体_GB2312" w:hAnsi="楷体_GB2312" w:eastAsia="楷体_GB2312" w:cs="楷体_GB2312"/>
          <w:color w:val="FF0000"/>
          <w:sz w:val="32"/>
          <w:szCs w:val="32"/>
        </w:rPr>
      </w:pPr>
      <w:r>
        <w:rPr>
          <w:rFonts w:hint="eastAsia" w:ascii="楷体_GB2312" w:hAnsi="楷体_GB2312" w:eastAsia="楷体_GB2312" w:cs="楷体_GB2312"/>
          <w:sz w:val="32"/>
          <w:szCs w:val="32"/>
        </w:rPr>
        <w:t>栏目名称：</w:t>
      </w:r>
      <w:r>
        <w:rPr>
          <w:rFonts w:hint="eastAsia" w:ascii="楷体_GB2312" w:hAnsi="楷体_GB2312" w:eastAsia="楷体_GB2312" w:cs="楷体_GB2312"/>
          <w:color w:val="FF0000"/>
          <w:sz w:val="32"/>
          <w:szCs w:val="32"/>
        </w:rPr>
        <w:t>白碱滩区政府网站-</w:t>
      </w:r>
      <w:r>
        <w:rPr>
          <w:rFonts w:hint="eastAsia" w:ascii="楷体_GB2312" w:hAnsi="楷体_GB2312" w:eastAsia="楷体_GB2312" w:cs="楷体_GB2312"/>
          <w:color w:val="FF0000"/>
          <w:sz w:val="32"/>
          <w:szCs w:val="32"/>
          <w:lang w:val="en-US" w:eastAsia="zh-CN"/>
        </w:rPr>
        <w:t>-</w:t>
      </w:r>
      <w:r>
        <w:rPr>
          <w:rFonts w:hint="eastAsia" w:ascii="楷体_GB2312" w:hAnsi="楷体_GB2312" w:eastAsia="楷体_GB2312" w:cs="楷体_GB2312"/>
          <w:color w:val="FF0000"/>
          <w:sz w:val="32"/>
          <w:szCs w:val="32"/>
        </w:rPr>
        <w:t>专题专栏-</w:t>
      </w:r>
      <w:r>
        <w:rPr>
          <w:rFonts w:hint="eastAsia" w:ascii="楷体_GB2312" w:hAnsi="楷体_GB2312" w:eastAsia="楷体_GB2312" w:cs="楷体_GB2312"/>
          <w:color w:val="FF0000"/>
          <w:sz w:val="32"/>
          <w:szCs w:val="32"/>
          <w:lang w:val="en-US" w:eastAsia="zh-CN"/>
        </w:rPr>
        <w:t>-</w:t>
      </w:r>
      <w:r>
        <w:rPr>
          <w:rFonts w:hint="eastAsia" w:ascii="楷体_GB2312" w:hAnsi="楷体_GB2312" w:eastAsia="楷体_GB2312" w:cs="楷体_GB2312"/>
          <w:color w:val="FF0000"/>
          <w:sz w:val="32"/>
          <w:szCs w:val="32"/>
        </w:rPr>
        <w:t>法治政府建设-</w:t>
      </w:r>
      <w:r>
        <w:rPr>
          <w:rFonts w:hint="eastAsia" w:ascii="楷体_GB2312" w:hAnsi="楷体_GB2312" w:eastAsia="楷体_GB2312" w:cs="楷体_GB2312"/>
          <w:color w:val="FF0000"/>
          <w:sz w:val="32"/>
          <w:szCs w:val="32"/>
          <w:lang w:val="en-US" w:eastAsia="zh-CN"/>
        </w:rPr>
        <w:t>-</w:t>
      </w:r>
      <w:r>
        <w:rPr>
          <w:rFonts w:hint="eastAsia" w:ascii="楷体_GB2312" w:hAnsi="楷体_GB2312" w:eastAsia="楷体_GB2312" w:cs="楷体_GB2312"/>
          <w:color w:val="FF0000"/>
          <w:sz w:val="32"/>
          <w:szCs w:val="32"/>
        </w:rPr>
        <w:t>法治政府建设组织领导</w:t>
      </w:r>
    </w:p>
    <w:p>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微软雅黑"/>
          <w:i w:val="0"/>
          <w:iCs w:val="0"/>
          <w:caps w:val="0"/>
          <w:color w:val="auto"/>
          <w:spacing w:val="0"/>
          <w:sz w:val="32"/>
          <w:szCs w:val="32"/>
          <w:shd w:val="clear" w:fill="FFFFFF"/>
        </w:rPr>
      </w:pPr>
      <w:r>
        <w:rPr>
          <w:rFonts w:ascii="Times New Roman" w:hAnsi="Times New Roman" w:eastAsia="仿宋_GB2312" w:cs="微软雅黑"/>
          <w:i w:val="0"/>
          <w:iCs w:val="0"/>
          <w:caps w:val="0"/>
          <w:color w:val="auto"/>
          <w:spacing w:val="0"/>
          <w:sz w:val="32"/>
          <w:szCs w:val="32"/>
          <w:shd w:val="clear" w:fill="FFFFFF"/>
        </w:rPr>
        <w:t>2024年，</w:t>
      </w:r>
      <w:r>
        <w:rPr>
          <w:rFonts w:hint="eastAsia" w:ascii="Times New Roman" w:hAnsi="Times New Roman" w:eastAsia="仿宋_GB2312" w:cs="微软雅黑"/>
          <w:i w:val="0"/>
          <w:iCs w:val="0"/>
          <w:caps w:val="0"/>
          <w:color w:val="auto"/>
          <w:spacing w:val="0"/>
          <w:sz w:val="32"/>
          <w:szCs w:val="32"/>
          <w:shd w:val="clear" w:fill="FFFFFF"/>
          <w:lang w:val="en-US" w:eastAsia="zh-CN"/>
        </w:rPr>
        <w:t>白碱滩区城市管理</w:t>
      </w:r>
      <w:r>
        <w:rPr>
          <w:rFonts w:ascii="Times New Roman" w:hAnsi="Times New Roman" w:eastAsia="仿宋_GB2312" w:cs="微软雅黑"/>
          <w:i w:val="0"/>
          <w:iCs w:val="0"/>
          <w:caps w:val="0"/>
          <w:color w:val="auto"/>
          <w:spacing w:val="0"/>
          <w:sz w:val="32"/>
          <w:szCs w:val="32"/>
          <w:shd w:val="clear" w:fill="FFFFFF"/>
        </w:rPr>
        <w:t>局坚持以习近平新时代中国特色社会主义思想为指导，深入学习宣传贯彻习近平法治思想，紧紧围绕法治政府建设这一主线，全面推进依法行政，不断提升了城市管理的法治化水平，扎实推动法治政府建设取得新成效。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373737"/>
          <w:spacing w:val="0"/>
          <w:sz w:val="32"/>
          <w:szCs w:val="32"/>
          <w:shd w:val="clear" w:fill="FFFFFF"/>
        </w:rPr>
      </w:pPr>
      <w:r>
        <w:rPr>
          <w:rFonts w:hint="eastAsia" w:ascii="黑体" w:hAnsi="黑体" w:eastAsia="黑体" w:cs="黑体"/>
          <w:i w:val="0"/>
          <w:iCs w:val="0"/>
          <w:caps w:val="0"/>
          <w:color w:val="373737"/>
          <w:spacing w:val="0"/>
          <w:sz w:val="32"/>
          <w:szCs w:val="32"/>
          <w:shd w:val="clear" w:fill="FFFFFF"/>
        </w:rPr>
        <w:t>一、2024年工作举措与成效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373737"/>
          <w:spacing w:val="0"/>
          <w:sz w:val="30"/>
          <w:szCs w:val="30"/>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（一）加强思想统筹，全力推进法治政府建设。</w:t>
      </w:r>
      <w:r>
        <w:rPr>
          <w:rFonts w:hint="eastAsia" w:ascii="Times New Roman" w:hAnsi="Times New Roman" w:eastAsia="仿宋_GB2312" w:cstheme="minorBidi"/>
          <w:b w:val="0"/>
          <w:bCs w:val="0"/>
          <w:kern w:val="2"/>
          <w:sz w:val="32"/>
          <w:szCs w:val="32"/>
          <w:lang w:val="en-US" w:eastAsia="zh-CN" w:bidi="ar-SA"/>
        </w:rPr>
        <w:t>一是深入学习习近平总书记系列重要讲话精神。坚持以习近平法治思想为指导，学习贯彻党的二十大和二十届二中、三中全会精神，将党的二十大精神和习近平法治思想纳入党组理论学习中心组重要学习内容和2024年干部职工学习培训计划，学习习近平总书记关于法治建设重要指示精神7次，各类法律法规35次，不断强化领导干部遵法守法、依法办事能力。二是谋划工作部署。把法治政府建设工作纳入全局工作总体计划，纳入党组主要负责同志和分管领导的责任清单，与业务工作同谋划、同部署、同检查，形成主要领导负责抓，分管领导具体抓，各部门配合抓的工作局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heme="minorBidi"/>
          <w:b w:val="0"/>
          <w:bCs w:val="0"/>
          <w:kern w:val="2"/>
          <w:sz w:val="32"/>
          <w:szCs w:val="32"/>
          <w:lang w:val="en-US" w:eastAsia="zh-CN" w:bidi="ar-SA"/>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强化组织领导，履行法治建设第一责任人职责。</w:t>
      </w:r>
      <w:r>
        <w:rPr>
          <w:rFonts w:hint="eastAsia" w:ascii="Times New Roman" w:hAnsi="Times New Roman" w:eastAsia="仿宋_GB2312" w:cstheme="minorBidi"/>
          <w:b w:val="0"/>
          <w:bCs w:val="0"/>
          <w:kern w:val="2"/>
          <w:sz w:val="32"/>
          <w:szCs w:val="32"/>
          <w:lang w:val="en-US" w:eastAsia="zh-CN" w:bidi="ar-SA"/>
        </w:rPr>
        <w:t>一是全面落实党政主要负责人“述法”工作。将局主要负责人法治建设情况以书面形式向区委、依法治区办进行报告，推进述法工作常态化；二是统筹推进法治政府建设工作。对涉及我局的工作任务进行集中分解并责任到人，定期强化督办、推动我局法治政府建设力度，提高依法行政能力。三是着力提升公职人员法治思维和依法行政能力。通过深入开展学法用法活动，坚持支部、班子学法制度、法律培训制度，大力开展法律知识全员培训20余次，参加“法治大讲堂”活动讲座12次，有效提高公职人员依法行政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严格规范公正文明执法。</w:t>
      </w:r>
      <w:r>
        <w:rPr>
          <w:rFonts w:hint="eastAsia" w:ascii="Times New Roman" w:hAnsi="Times New Roman" w:eastAsia="仿宋_GB2312"/>
          <w:sz w:val="32"/>
          <w:szCs w:val="32"/>
          <w:lang w:val="en-US" w:eastAsia="zh-CN"/>
        </w:rPr>
        <w:t>牢固树立权力源于法律授予的理念，严格规范公正文明执法，创新行政方式，提高执法效能。严格落实行政执法“三项制度”，确保行政执法案件合理合法。2024年至今共办理一般程序案件51起，其中市容环卫案件39起、文化市场案件3起、大气污染案件1起、城乡规划案件7起、市政公用案件1起，共计处罚金额63.32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sz w:val="32"/>
          <w:szCs w:val="32"/>
          <w:lang w:val="en-US" w:eastAsia="zh-CN"/>
        </w:rPr>
      </w:pPr>
      <w:r>
        <w:rPr>
          <w:rFonts w:hint="default" w:ascii="楷体_GB2312" w:hAnsi="楷体_GB2312" w:eastAsia="楷体_GB2312" w:cs="楷体_GB2312"/>
          <w:i w:val="0"/>
          <w:iCs w:val="0"/>
          <w:caps w:val="0"/>
          <w:color w:val="000000"/>
          <w:spacing w:val="0"/>
          <w:sz w:val="32"/>
          <w:szCs w:val="32"/>
          <w:shd w:val="clear" w:fill="FFFFFF"/>
          <w:lang w:val="en-US"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四</w:t>
      </w:r>
      <w:r>
        <w:rPr>
          <w:rFonts w:hint="default" w:ascii="楷体_GB2312" w:hAnsi="楷体_GB2312" w:eastAsia="楷体_GB2312" w:cs="楷体_GB2312"/>
          <w:i w:val="0"/>
          <w:iCs w:val="0"/>
          <w:caps w:val="0"/>
          <w:color w:val="000000"/>
          <w:spacing w:val="0"/>
          <w:sz w:val="32"/>
          <w:szCs w:val="32"/>
          <w:shd w:val="clear" w:fill="FFFFFF"/>
          <w:lang w:val="en-US"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加强执法队伍建设。</w:t>
      </w:r>
      <w:r>
        <w:rPr>
          <w:rFonts w:hint="eastAsia" w:ascii="Times New Roman" w:hAnsi="Times New Roman" w:eastAsia="仿宋_GB2312"/>
          <w:sz w:val="32"/>
          <w:szCs w:val="32"/>
          <w:lang w:val="en-US" w:eastAsia="zh-CN"/>
        </w:rPr>
        <w:t>开展了形式多样、内容丰富的执法培训20余次。培训内容涵盖《城市管理执法办法》《住房和城乡建设行政处罚程序规定》等城市管理领域的法律法规；培训形式除了专题授课外，还邀请聘用律师进行授课，执法业务骨干分享交流执法实务经验、分析典型案例。为11名执法人员配备了法考书籍，督促执法人员参加法律职业资格考试，促进全体干部学法用法，全局三人报考了今年的法律职业资格考试，一人通过考试取得A类法律职业资格证书。在今年克拉玛依市“工会杯”执法技能大赛中我局获得全市第四名的好成绩，全局执法人员的法治素养和依法办理能力有了明显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（五）深入开展法治宣传教育。</w:t>
      </w:r>
      <w:r>
        <w:rPr>
          <w:rFonts w:hint="eastAsia" w:ascii="Times New Roman" w:hAnsi="Times New Roman" w:eastAsia="仿宋_GB2312"/>
          <w:sz w:val="32"/>
          <w:szCs w:val="32"/>
          <w:lang w:val="en-US" w:eastAsia="zh-CN"/>
        </w:rPr>
        <w:t>严格落实“八五”普法规划，组织执法人员深入社区、企业宣传城市管理法律法规。同时利用宪法宣传月，集中开展法律知识宣传，努力营造良好的法治氛围。全年共计开展有针对性的专项法制宣传教育8次，开展宪法法律宣传月活动1次，发放宣传单200余张，受教育群众300余人。同时，执法人员在对违法行为人进行处罚的同时，由办案件人员根据行政处罚相对人的知识层次，社会角色，对当事人进行守法意识宣传教育，受教育人数50余人。</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0"/>
        </w:pBdr>
        <w:kinsoku/>
        <w:wordWrap/>
        <w:overflowPunct w:val="0"/>
        <w:topLinePunct w:val="0"/>
        <w:autoSpaceDE w:val="0"/>
        <w:autoSpaceDN w:val="0"/>
        <w:bidi w:val="0"/>
        <w:adjustRightInd w:val="0"/>
        <w:snapToGrid w:val="0"/>
        <w:spacing w:after="0" w:line="560" w:lineRule="exact"/>
        <w:ind w:left="0" w:leftChars="0" w:firstLine="640" w:firstLineChars="200"/>
        <w:jc w:val="both"/>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（六）积极推进行政处罚赋权工作。</w:t>
      </w:r>
      <w:r>
        <w:rPr>
          <w:rFonts w:hint="eastAsia" w:ascii="Times New Roman" w:hAnsi="Times New Roman" w:eastAsia="仿宋_GB2312"/>
          <w:sz w:val="32"/>
          <w:szCs w:val="32"/>
          <w:lang w:val="en-US" w:eastAsia="zh-CN"/>
        </w:rPr>
        <w:t>制作4类模拟案卷，帮助街道快速熟悉执法流程和文书使用。开展了现场执法示范、理论指导等各类培训、实地指导活动40余次，进一步加强了街道综合执法人员依法行政水平。同时我局向街道移交违法线索5条，截至目前街道已经立案查处2起，街道执法人员已经具备完成城市管理执法和案卷制作的能力。</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0"/>
        </w:pBdr>
        <w:kinsoku/>
        <w:wordWrap/>
        <w:overflowPunct w:val="0"/>
        <w:topLinePunct w:val="0"/>
        <w:autoSpaceDE w:val="0"/>
        <w:autoSpaceDN w:val="0"/>
        <w:bidi w:val="0"/>
        <w:adjustRightInd w:val="0"/>
        <w:snapToGrid w:val="0"/>
        <w:spacing w:line="560" w:lineRule="exact"/>
        <w:ind w:left="0" w:leftChars="0" w:firstLine="640" w:firstLineChars="200"/>
        <w:jc w:val="both"/>
        <w:textAlignment w:val="auto"/>
        <w:rPr>
          <w:rFonts w:hint="eastAsia" w:ascii="Times New Roman" w:hAnsi="Times New Roman" w:eastAsia="仿宋_GB2312"/>
          <w:bCs/>
          <w:sz w:val="32"/>
          <w:szCs w:val="32"/>
          <w:lang w:val="en-US" w:eastAsia="zh-CN"/>
        </w:rPr>
      </w:pPr>
      <w:r>
        <w:rPr>
          <w:rFonts w:hint="default" w:ascii="楷体_GB2312" w:hAnsi="楷体_GB2312" w:eastAsia="楷体_GB2312" w:cs="楷体_GB2312"/>
          <w:i w:val="0"/>
          <w:iCs w:val="0"/>
          <w:caps w:val="0"/>
          <w:color w:val="000000"/>
          <w:spacing w:val="0"/>
          <w:sz w:val="32"/>
          <w:szCs w:val="32"/>
          <w:shd w:val="clear" w:fill="FFFFFF"/>
          <w:lang w:val="en-US"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七</w:t>
      </w:r>
      <w:r>
        <w:rPr>
          <w:rFonts w:hint="default" w:ascii="楷体_GB2312" w:hAnsi="楷体_GB2312" w:eastAsia="楷体_GB2312" w:cs="楷体_GB2312"/>
          <w:i w:val="0"/>
          <w:iCs w:val="0"/>
          <w:caps w:val="0"/>
          <w:color w:val="000000"/>
          <w:spacing w:val="0"/>
          <w:sz w:val="32"/>
          <w:szCs w:val="32"/>
          <w:shd w:val="clear" w:fill="FFFFFF"/>
          <w:lang w:val="en-US"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持续优化营商环境，不断提升执法效能。</w:t>
      </w:r>
      <w:r>
        <w:rPr>
          <w:rFonts w:hint="eastAsia" w:ascii="Times New Roman" w:hAnsi="Times New Roman" w:eastAsia="仿宋_GB2312"/>
          <w:bCs/>
          <w:sz w:val="32"/>
          <w:szCs w:val="32"/>
          <w:lang w:val="en-US" w:eastAsia="zh-CN"/>
        </w:rPr>
        <w:t>严格落实“四张清单”，推动包容审慎柔性执法规范化、常态化，对未造成明显危害后果或不良社会影响的轻微首次违法行为，对照免罚清单进行批评教育、承诺改正即可，免于行政处罚。今年以来依法免予处罚10件，免罚案件占比达16%，减少了执法者与商户的冲突，保持了市场主体的活力，优化了营商环境。大力推进“简案快办”执法模式，对案情简单、事实清楚、证据确凿充分的案件以简易程序办理，今年共办理简易案件24起，实现案件快速办理，进一步提高了执法效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5" w:leftChars="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bCs/>
          <w:sz w:val="32"/>
          <w:szCs w:val="32"/>
          <w:lang w:val="en-US" w:eastAsia="zh-CN"/>
        </w:rPr>
      </w:pPr>
      <w:r>
        <w:rPr>
          <w:rFonts w:hint="default" w:ascii="楷体_GB2312" w:hAnsi="楷体_GB2312" w:eastAsia="楷体_GB2312" w:cs="楷体_GB2312"/>
          <w:i w:val="0"/>
          <w:iCs w:val="0"/>
          <w:caps w:val="0"/>
          <w:color w:val="000000"/>
          <w:spacing w:val="0"/>
          <w:sz w:val="32"/>
          <w:szCs w:val="32"/>
          <w:shd w:val="clear" w:fill="FFFFFF"/>
          <w:lang w:val="en-US" w:eastAsia="zh-CN"/>
        </w:rPr>
        <w:t>（一）工作机制仍需完善。</w:t>
      </w:r>
      <w:r>
        <w:rPr>
          <w:rFonts w:hint="eastAsia" w:ascii="Times New Roman" w:hAnsi="Times New Roman" w:eastAsia="仿宋_GB2312"/>
          <w:bCs/>
          <w:sz w:val="32"/>
          <w:szCs w:val="32"/>
          <w:lang w:val="en-US" w:eastAsia="zh-CN"/>
        </w:rPr>
        <w:t>随着执法体制改革的持续推进，城管执法领域继续扩大，对持续赋能街道，融入基层治理的要求也不断提升，管理和执法的协作机制需要进一步完善。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bCs/>
          <w:sz w:val="32"/>
          <w:szCs w:val="32"/>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（二）</w:t>
      </w:r>
      <w:r>
        <w:rPr>
          <w:rFonts w:hint="default" w:ascii="楷体_GB2312" w:hAnsi="楷体_GB2312" w:eastAsia="楷体_GB2312" w:cs="楷体_GB2312"/>
          <w:i w:val="0"/>
          <w:iCs w:val="0"/>
          <w:caps w:val="0"/>
          <w:color w:val="000000"/>
          <w:spacing w:val="0"/>
          <w:sz w:val="32"/>
          <w:szCs w:val="32"/>
          <w:shd w:val="clear" w:fill="FFFFFF"/>
          <w:lang w:val="en-US" w:eastAsia="zh-CN"/>
        </w:rPr>
        <w:t>专业能力仍需提高。</w:t>
      </w:r>
      <w:r>
        <w:rPr>
          <w:rFonts w:hint="eastAsia" w:ascii="Times New Roman" w:hAnsi="Times New Roman" w:eastAsia="仿宋_GB2312"/>
          <w:bCs/>
          <w:sz w:val="32"/>
          <w:szCs w:val="32"/>
          <w:lang w:val="en-US" w:eastAsia="zh-CN"/>
        </w:rPr>
        <w:t>城管执法队伍的履职尽责能力总体上不断上升，“重实体、轻程序”的情况时有发生，城管执法队伍整体的依法行政意识和水平仍待提升。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Times New Roman" w:hAnsi="Times New Roman" w:eastAsia="仿宋_GB2312"/>
          <w:bCs/>
          <w:sz w:val="32"/>
          <w:szCs w:val="32"/>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（三）队伍建设仍需加强。全局</w:t>
      </w:r>
      <w:r>
        <w:rPr>
          <w:rFonts w:hint="eastAsia" w:ascii="Times New Roman" w:hAnsi="Times New Roman" w:eastAsia="仿宋_GB2312"/>
          <w:bCs/>
          <w:sz w:val="32"/>
          <w:szCs w:val="32"/>
          <w:lang w:val="en-US" w:eastAsia="zh-CN"/>
        </w:rPr>
        <w:t>持有国家法律职业资格证书，实际从事法制审核岗位的人员较少，执法队员的整体素质还达不到法治政府的要求，整体的高素质法制队伍建设仍需加强。</w:t>
      </w:r>
    </w:p>
    <w:p>
      <w:pPr>
        <w:pStyle w:val="2"/>
        <w:keepNext w:val="0"/>
        <w:keepLines w:val="0"/>
        <w:pageBreakBefore w:val="0"/>
        <w:widowControl w:val="0"/>
        <w:kinsoku/>
        <w:wordWrap/>
        <w:topLinePunct w:val="0"/>
        <w:bidi w:val="0"/>
        <w:spacing w:line="54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三、下步工作计划</w:t>
      </w:r>
    </w:p>
    <w:p>
      <w:pPr>
        <w:keepNext w:val="0"/>
        <w:keepLines w:val="0"/>
        <w:pageBreakBefore w:val="0"/>
        <w:widowControl w:val="0"/>
        <w:numPr>
          <w:ilvl w:val="0"/>
          <w:numId w:val="0"/>
        </w:numPr>
        <w:pBdr>
          <w:top w:val="none" w:color="000000" w:sz="0" w:space="0"/>
          <w:left w:val="none" w:color="000000" w:sz="0" w:space="16"/>
          <w:bottom w:val="none" w:color="000000" w:sz="0" w:space="31"/>
          <w:right w:val="none" w:color="000000" w:sz="0" w:space="3"/>
        </w:pBdr>
        <w:kinsoku/>
        <w:wordWrap/>
        <w:topLinePunct w:val="0"/>
        <w:autoSpaceDN w:val="0"/>
        <w:bidi w:val="0"/>
        <w:adjustRightInd w:val="0"/>
        <w:snapToGrid w:val="0"/>
        <w:spacing w:line="540" w:lineRule="exact"/>
        <w:ind w:firstLine="640" w:firstLineChars="200"/>
        <w:jc w:val="both"/>
        <w:textAlignment w:val="auto"/>
        <w:rPr>
          <w:rFonts w:hint="eastAsia" w:ascii="Times New Roman" w:hAnsi="Times New Roman" w:eastAsia="仿宋_GB2312"/>
          <w:bCs/>
          <w:sz w:val="32"/>
          <w:szCs w:val="32"/>
          <w:lang w:val="en-US" w:eastAsia="zh-CN"/>
        </w:rPr>
      </w:pPr>
      <w:r>
        <w:rPr>
          <w:rFonts w:hint="default" w:ascii="楷体_GB2312" w:hAnsi="楷体_GB2312" w:eastAsia="楷体_GB2312" w:cs="楷体_GB2312"/>
          <w:i w:val="0"/>
          <w:iCs w:val="0"/>
          <w:caps w:val="0"/>
          <w:color w:val="000000"/>
          <w:spacing w:val="0"/>
          <w:sz w:val="32"/>
          <w:szCs w:val="32"/>
          <w:shd w:val="clear" w:fill="FFFFFF"/>
          <w:lang w:val="en-US" w:eastAsia="zh-CN"/>
        </w:rPr>
        <w:t>（一）</w:t>
      </w:r>
      <w:r>
        <w:rPr>
          <w:rFonts w:hint="eastAsia" w:ascii="楷体_GB2312" w:hAnsi="楷体_GB2312" w:eastAsia="楷体_GB2312" w:cs="楷体_GB2312"/>
          <w:b w:val="0"/>
          <w:bCs w:val="0"/>
          <w:sz w:val="32"/>
          <w:szCs w:val="32"/>
        </w:rPr>
        <w:t>带动干部自觉</w:t>
      </w:r>
      <w:r>
        <w:rPr>
          <w:rFonts w:hint="eastAsia" w:ascii="楷体_GB2312" w:hAnsi="楷体_GB2312" w:eastAsia="楷体_GB2312" w:cs="楷体_GB2312"/>
          <w:b w:val="0"/>
          <w:bCs w:val="0"/>
          <w:sz w:val="32"/>
          <w:szCs w:val="32"/>
          <w:lang w:val="en-US" w:eastAsia="zh-CN"/>
        </w:rPr>
        <w:t>尊</w:t>
      </w:r>
      <w:r>
        <w:rPr>
          <w:rFonts w:hint="eastAsia" w:ascii="楷体_GB2312" w:hAnsi="楷体_GB2312" w:eastAsia="楷体_GB2312" w:cs="楷体_GB2312"/>
          <w:b w:val="0"/>
          <w:bCs w:val="0"/>
          <w:sz w:val="32"/>
          <w:szCs w:val="32"/>
        </w:rPr>
        <w:t>法学法守法用法</w:t>
      </w:r>
      <w:r>
        <w:rPr>
          <w:rFonts w:hint="eastAsia" w:ascii="楷体_GB2312" w:hAnsi="楷体_GB2312" w:eastAsia="楷体_GB2312" w:cs="楷体_GB2312"/>
          <w:b w:val="0"/>
          <w:bCs w:val="0"/>
          <w:sz w:val="32"/>
          <w:szCs w:val="32"/>
          <w:lang w:eastAsia="zh-CN"/>
        </w:rPr>
        <w:t>。</w:t>
      </w:r>
      <w:r>
        <w:rPr>
          <w:rFonts w:hint="default" w:ascii="Times New Roman" w:hAnsi="Times New Roman" w:eastAsia="仿宋_GB2312"/>
          <w:bCs/>
          <w:sz w:val="32"/>
          <w:szCs w:val="32"/>
          <w:lang w:val="en-US" w:eastAsia="zh-CN"/>
        </w:rPr>
        <w:t>全面落实党组理论学习中心组集体学法、领导干部年终述法等制度。</w:t>
      </w:r>
      <w:r>
        <w:rPr>
          <w:rFonts w:hint="eastAsia" w:ascii="Times New Roman" w:hAnsi="Times New Roman" w:eastAsia="仿宋_GB2312"/>
          <w:bCs/>
          <w:sz w:val="32"/>
          <w:szCs w:val="32"/>
          <w:lang w:val="en-US" w:eastAsia="zh-CN"/>
        </w:rPr>
        <w:t>通过每周一次“案例分析”、每月开展一次“法治讲堂”、每季开展一次“岗位练兵”，全面提升行政执法人员法治素养。进一步强化学法用法，建立常态化、系统化的法治学习机制，鼓励执法人员自学、精学，积极参加法律职业资格考试，提升干部职工运用法治思维和法治方式想问题、做判断、出决策的能力。</w:t>
      </w:r>
    </w:p>
    <w:p>
      <w:pPr>
        <w:keepNext w:val="0"/>
        <w:keepLines w:val="0"/>
        <w:pageBreakBefore w:val="0"/>
        <w:widowControl w:val="0"/>
        <w:numPr>
          <w:ilvl w:val="0"/>
          <w:numId w:val="0"/>
        </w:numPr>
        <w:pBdr>
          <w:top w:val="none" w:color="000000" w:sz="0" w:space="0"/>
          <w:left w:val="none" w:color="000000" w:sz="0" w:space="16"/>
          <w:bottom w:val="none" w:color="000000" w:sz="0" w:space="31"/>
          <w:right w:val="none" w:color="000000" w:sz="0" w:space="3"/>
        </w:pBdr>
        <w:kinsoku/>
        <w:wordWrap/>
        <w:topLinePunct w:val="0"/>
        <w:autoSpaceDN w:val="0"/>
        <w:bidi w:val="0"/>
        <w:adjustRightInd w:val="0"/>
        <w:snapToGrid w:val="0"/>
        <w:spacing w:line="540" w:lineRule="exact"/>
        <w:ind w:firstLine="640" w:firstLineChars="200"/>
        <w:jc w:val="both"/>
        <w:textAlignment w:val="auto"/>
        <w:rPr>
          <w:rFonts w:hint="default" w:ascii="Times New Roman" w:hAnsi="Times New Roman" w:eastAsia="仿宋_GB2312"/>
          <w:bCs/>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不断提升行政执法规范</w:t>
      </w:r>
      <w:r>
        <w:rPr>
          <w:rFonts w:hint="eastAsia" w:ascii="楷体_GB2312" w:hAnsi="楷体_GB2312" w:eastAsia="楷体_GB2312" w:cs="楷体_GB2312"/>
          <w:b w:val="0"/>
          <w:bCs w:val="0"/>
          <w:sz w:val="32"/>
          <w:szCs w:val="32"/>
          <w:lang w:val="en-US" w:eastAsia="zh-CN"/>
        </w:rPr>
        <w:t>化水平。</w:t>
      </w:r>
      <w:r>
        <w:rPr>
          <w:rFonts w:hint="eastAsia" w:ascii="Times New Roman" w:hAnsi="Times New Roman" w:eastAsia="仿宋_GB2312"/>
          <w:bCs/>
          <w:sz w:val="32"/>
          <w:szCs w:val="32"/>
          <w:lang w:val="en-US" w:eastAsia="zh-CN"/>
        </w:rPr>
        <w:t>狠</w:t>
      </w:r>
      <w:r>
        <w:rPr>
          <w:rFonts w:hint="default" w:ascii="Times New Roman" w:hAnsi="Times New Roman" w:eastAsia="仿宋_GB2312"/>
          <w:bCs/>
          <w:sz w:val="32"/>
          <w:szCs w:val="32"/>
          <w:lang w:val="en-US" w:eastAsia="zh-CN"/>
        </w:rPr>
        <w:t>抓行政执法案卷质量</w:t>
      </w:r>
      <w:r>
        <w:rPr>
          <w:rFonts w:hint="eastAsia" w:ascii="Times New Roman" w:hAnsi="Times New Roman" w:eastAsia="仿宋_GB2312"/>
          <w:bCs/>
          <w:sz w:val="32"/>
          <w:szCs w:val="32"/>
          <w:lang w:val="en-US" w:eastAsia="zh-CN"/>
        </w:rPr>
        <w:t>，</w:t>
      </w:r>
      <w:r>
        <w:rPr>
          <w:rFonts w:hint="default" w:ascii="Times New Roman" w:hAnsi="Times New Roman" w:eastAsia="仿宋_GB2312"/>
          <w:bCs/>
          <w:sz w:val="32"/>
          <w:szCs w:val="32"/>
          <w:lang w:val="en-US" w:eastAsia="zh-CN"/>
        </w:rPr>
        <w:t>进一步加强行政处罚案卷规范化、标准化建设，切实规范行政执法行为，</w:t>
      </w:r>
      <w:r>
        <w:rPr>
          <w:rFonts w:hint="eastAsia" w:ascii="Times New Roman" w:hAnsi="Times New Roman" w:eastAsia="仿宋_GB2312"/>
          <w:bCs/>
          <w:sz w:val="32"/>
          <w:szCs w:val="32"/>
          <w:lang w:val="en-US" w:eastAsia="zh-CN"/>
        </w:rPr>
        <w:t>全力配合</w:t>
      </w:r>
      <w:r>
        <w:rPr>
          <w:rFonts w:hint="eastAsia" w:ascii="仿宋_GB2312" w:hAnsi="仿宋_GB2312" w:eastAsia="仿宋_GB2312" w:cs="仿宋_GB2312"/>
          <w:sz w:val="32"/>
          <w:szCs w:val="32"/>
        </w:rPr>
        <w:t>“随同式”执法监督</w:t>
      </w:r>
      <w:r>
        <w:rPr>
          <w:rFonts w:hint="eastAsia" w:ascii="仿宋_GB2312" w:hAnsi="仿宋_GB2312" w:eastAsia="仿宋_GB2312" w:cs="仿宋_GB2312"/>
          <w:sz w:val="32"/>
          <w:szCs w:val="32"/>
          <w:lang w:eastAsia="zh-CN"/>
        </w:rPr>
        <w:t>，</w:t>
      </w:r>
      <w:r>
        <w:rPr>
          <w:rFonts w:hint="default" w:ascii="Times New Roman" w:hAnsi="Times New Roman" w:eastAsia="仿宋_GB2312"/>
          <w:bCs/>
          <w:sz w:val="32"/>
          <w:szCs w:val="32"/>
          <w:lang w:val="en-US" w:eastAsia="zh-CN"/>
        </w:rPr>
        <w:t>确保行政执法案卷质量有效提升。健全</w:t>
      </w:r>
      <w:r>
        <w:rPr>
          <w:rFonts w:hint="eastAsia" w:ascii="Times New Roman" w:hAnsi="Times New Roman" w:eastAsia="仿宋_GB2312"/>
          <w:bCs/>
          <w:sz w:val="32"/>
          <w:szCs w:val="32"/>
          <w:lang w:val="en-US" w:eastAsia="zh-CN"/>
        </w:rPr>
        <w:t>城管执法队与</w:t>
      </w:r>
      <w:r>
        <w:rPr>
          <w:rFonts w:hint="default" w:ascii="Times New Roman" w:hAnsi="Times New Roman" w:eastAsia="仿宋_GB2312"/>
          <w:bCs/>
          <w:sz w:val="32"/>
          <w:szCs w:val="32"/>
          <w:lang w:val="en-US" w:eastAsia="zh-CN"/>
        </w:rPr>
        <w:t>街道执法队的协助协作机制</w:t>
      </w:r>
      <w:r>
        <w:rPr>
          <w:rFonts w:hint="eastAsia" w:ascii="Times New Roman" w:hAnsi="Times New Roman" w:eastAsia="仿宋_GB2312"/>
          <w:bCs/>
          <w:sz w:val="32"/>
          <w:szCs w:val="32"/>
          <w:lang w:val="en-US" w:eastAsia="zh-CN"/>
        </w:rPr>
        <w:t>，</w:t>
      </w:r>
      <w:r>
        <w:rPr>
          <w:rFonts w:hint="default" w:ascii="Times New Roman" w:hAnsi="Times New Roman" w:eastAsia="仿宋_GB2312"/>
          <w:bCs/>
          <w:sz w:val="32"/>
          <w:szCs w:val="32"/>
          <w:lang w:val="en-US" w:eastAsia="zh-CN"/>
        </w:rPr>
        <w:t>实现管理与执法联动。对多发、易发违法事项，共同研究制定防控措施，完善信息共享，支持街道执法队伍加强规范化建设。深入扎实开展“城管进社区”活动，将城市管理部门的管理、服务和执法延伸到“最后一公里”。</w:t>
      </w:r>
    </w:p>
    <w:p>
      <w:pPr>
        <w:keepNext w:val="0"/>
        <w:keepLines w:val="0"/>
        <w:pageBreakBefore w:val="0"/>
        <w:widowControl w:val="0"/>
        <w:numPr>
          <w:ilvl w:val="0"/>
          <w:numId w:val="0"/>
        </w:numPr>
        <w:pBdr>
          <w:top w:val="none" w:color="000000" w:sz="0" w:space="0"/>
          <w:left w:val="none" w:color="000000" w:sz="0" w:space="16"/>
          <w:bottom w:val="none" w:color="000000" w:sz="0" w:space="31"/>
          <w:right w:val="none" w:color="000000" w:sz="0" w:space="3"/>
        </w:pBdr>
        <w:kinsoku/>
        <w:wordWrap/>
        <w:topLinePunct w:val="0"/>
        <w:autoSpaceDN w:val="0"/>
        <w:bidi w:val="0"/>
        <w:adjustRightInd w:val="0"/>
        <w:snapToGrid w:val="0"/>
        <w:spacing w:line="540" w:lineRule="exact"/>
        <w:ind w:firstLine="640" w:firstLineChars="200"/>
        <w:jc w:val="both"/>
        <w:textAlignment w:val="auto"/>
        <w:rPr>
          <w:rFonts w:hint="eastAsia" w:ascii="Times New Roman" w:hAnsi="Times New Roman" w:eastAsia="仿宋_GB2312"/>
          <w:bCs/>
          <w:sz w:val="32"/>
          <w:szCs w:val="32"/>
          <w:lang w:val="en-US" w:eastAsia="zh-CN"/>
        </w:rPr>
      </w:pPr>
      <w:r>
        <w:rPr>
          <w:rFonts w:hint="eastAsia" w:ascii="楷体_GB2312" w:hAnsi="楷体_GB2312" w:eastAsia="楷体_GB2312" w:cs="楷体_GB2312"/>
          <w:b w:val="0"/>
          <w:bCs w:val="0"/>
          <w:sz w:val="32"/>
          <w:szCs w:val="32"/>
          <w:lang w:val="en-US" w:eastAsia="zh-CN"/>
        </w:rPr>
        <w:t>（三）扩宽执法领域，持续优化营商环境。</w:t>
      </w:r>
      <w:r>
        <w:rPr>
          <w:rFonts w:hint="eastAsia" w:ascii="Times New Roman" w:hAnsi="Times New Roman" w:eastAsia="仿宋_GB2312"/>
          <w:bCs/>
          <w:sz w:val="32"/>
          <w:szCs w:val="32"/>
          <w:lang w:val="en-US" w:eastAsia="zh-CN"/>
        </w:rPr>
        <w:t>积极探索文化市场和城乡建设领域的案件来源，依据《白碱滩区跨部门、跨领域联合执法试点工作方案》，加强与自然资源分局、住建局的沟通，开展联合执法，争取实现案件办理的突破；推动管理方式由严罚式执法向容错式执法转变，严格规范涉企行政执法，优先采取说服教育、劝导规范等行政指导措施，对企业违法违规行为给予一定纠错期、宽限期，引导行政管理相对人自觉纠正违法行为，优化营商环境。</w:t>
      </w:r>
    </w:p>
    <w:p>
      <w:pPr>
        <w:pStyle w:val="2"/>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Times New Roman" w:hAnsi="Times New Roman" w:eastAsia="仿宋_GB2312" w:cstheme="minorBidi"/>
          <w:b w:val="0"/>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Times New Roman" w:hAnsi="Times New Roman" w:eastAsia="仿宋_GB2312" w:cstheme="minorBidi"/>
          <w:b w:val="0"/>
          <w:bCs/>
          <w:kern w:val="2"/>
          <w:sz w:val="32"/>
          <w:szCs w:val="32"/>
          <w:lang w:val="en-US" w:eastAsia="zh-CN" w:bidi="ar-SA"/>
        </w:rPr>
      </w:pPr>
      <w:r>
        <w:rPr>
          <w:rFonts w:hint="eastAsia" w:ascii="Times New Roman" w:hAnsi="Times New Roman" w:eastAsia="仿宋_GB2312" w:cstheme="minorBidi"/>
          <w:b w:val="0"/>
          <w:bCs/>
          <w:kern w:val="2"/>
          <w:sz w:val="32"/>
          <w:szCs w:val="32"/>
          <w:lang w:val="en-US" w:eastAsia="zh-CN" w:bidi="ar-SA"/>
        </w:rPr>
        <w:t>白碱滩区城市管理局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b/>
          <w:bCs w:val="0"/>
          <w:sz w:val="32"/>
          <w:szCs w:val="32"/>
          <w:lang w:val="en-US" w:eastAsia="zh-CN"/>
        </w:rPr>
      </w:pPr>
      <w:r>
        <w:rPr>
          <w:rFonts w:hint="eastAsia" w:ascii="Times New Roman" w:hAnsi="Times New Roman" w:eastAsia="仿宋_GB2312" w:cstheme="minorBidi"/>
          <w:b w:val="0"/>
          <w:bCs/>
          <w:kern w:val="2"/>
          <w:sz w:val="32"/>
          <w:szCs w:val="32"/>
          <w:lang w:val="en-US" w:eastAsia="zh-CN" w:bidi="ar-SA"/>
        </w:rPr>
        <w:t xml:space="preserve">                                   2025年2月10日</w:t>
      </w:r>
    </w:p>
    <w:p>
      <w:pPr>
        <w:pStyle w:val="2"/>
        <w:rPr>
          <w:rFonts w:hint="default"/>
          <w:lang w:val="en-US" w:eastAsia="zh-CN"/>
        </w:rPr>
      </w:pPr>
    </w:p>
    <w:p>
      <w:pPr>
        <w:keepNext w:val="0"/>
        <w:keepLines w:val="0"/>
        <w:pageBreakBefore w:val="0"/>
        <w:kinsoku/>
        <w:wordWrap/>
        <w:topLinePunct w:val="0"/>
        <w:bidi w:val="0"/>
        <w:spacing w:line="560" w:lineRule="exact"/>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A1FD3"/>
    <w:multiLevelType w:val="singleLevel"/>
    <w:tmpl w:val="746A1FD3"/>
    <w:lvl w:ilvl="0" w:tentative="0">
      <w:start w:val="2"/>
      <w:numFmt w:val="chineseCounting"/>
      <w:suff w:val="nothing"/>
      <w:lvlText w:val="（%1）"/>
      <w:lvlJc w:val="left"/>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20C0"/>
    <w:rsid w:val="034734B9"/>
    <w:rsid w:val="0493460D"/>
    <w:rsid w:val="051509E0"/>
    <w:rsid w:val="066C51ED"/>
    <w:rsid w:val="0A596952"/>
    <w:rsid w:val="0EB14136"/>
    <w:rsid w:val="148D0660"/>
    <w:rsid w:val="14F05F16"/>
    <w:rsid w:val="1B1F000A"/>
    <w:rsid w:val="1B48492D"/>
    <w:rsid w:val="2061613A"/>
    <w:rsid w:val="256E1F08"/>
    <w:rsid w:val="29EB609A"/>
    <w:rsid w:val="2D475DBF"/>
    <w:rsid w:val="31B776E6"/>
    <w:rsid w:val="327035D1"/>
    <w:rsid w:val="341A7527"/>
    <w:rsid w:val="362819E4"/>
    <w:rsid w:val="4CA97038"/>
    <w:rsid w:val="4CAF5A00"/>
    <w:rsid w:val="52DF266B"/>
    <w:rsid w:val="571463F2"/>
    <w:rsid w:val="5B656F8E"/>
    <w:rsid w:val="60100D4C"/>
    <w:rsid w:val="686251FD"/>
    <w:rsid w:val="6AD07B0F"/>
    <w:rsid w:val="6B5B44A0"/>
    <w:rsid w:val="70CD191D"/>
    <w:rsid w:val="73FE2973"/>
    <w:rsid w:val="764356E9"/>
    <w:rsid w:val="78DD7391"/>
    <w:rsid w:val="7BED3102"/>
    <w:rsid w:val="7E97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宋体" w:cs="Times New Roman"/>
      <w:b/>
      <w:bC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2025-02-07T03:36:00Z</dcterms:created>
  <dc:creator>lenovo</dc:creator>
  <cp:lastModifiedBy>lenovo</cp:lastModifiedBy>
  <dcterms:modified xsi:type="dcterms:W3CDTF">2025-02-10T05:01:02Z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