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val="en-US" w:eastAsia="zh-CN"/>
        </w:rPr>
        <w:t>白碱滩</w:t>
      </w:r>
      <w:r>
        <w:rPr>
          <w:rFonts w:hint="eastAsia" w:ascii="方正小标宋简体" w:hAnsi="方正小标宋简体" w:eastAsia="方正小标宋简体" w:cs="方正小标宋简体"/>
          <w:spacing w:val="-6"/>
          <w:sz w:val="44"/>
          <w:szCs w:val="44"/>
          <w:lang w:eastAsia="zh-CN"/>
        </w:rPr>
        <w:t>区科技局</w:t>
      </w:r>
      <w:r>
        <w:rPr>
          <w:rFonts w:hint="eastAsia" w:ascii="方正小标宋简体" w:hAnsi="方正小标宋简体" w:eastAsia="方正小标宋简体" w:cs="方正小标宋简体"/>
          <w:spacing w:val="-6"/>
          <w:sz w:val="44"/>
          <w:szCs w:val="44"/>
        </w:rPr>
        <w:t>重大行政执法决定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6"/>
          <w:sz w:val="44"/>
          <w:szCs w:val="44"/>
        </w:rPr>
        <w:t>法制审核</w:t>
      </w:r>
      <w:r>
        <w:rPr>
          <w:rFonts w:hint="eastAsia" w:ascii="方正小标宋简体" w:hAnsi="方正小标宋简体" w:eastAsia="方正小标宋简体" w:cs="方正小标宋简体"/>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为规范重大执法决定法制审核工作，加强对行政执法行为的监督，促进行政执法承办机构（以下简称执法承办机构）依法行政，保护公民、法人和其他组织的合法权益，根据《中华人民共和国行政处罚法》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白碱滩区（克拉玛依高新区）推行行政执法公示制度执法全过程记录制度重大行政执法决定法制审核制度实施方案</w:t>
      </w:r>
      <w:r>
        <w:rPr>
          <w:rFonts w:hint="eastAsia" w:ascii="仿宋_GB2312" w:hAnsi="仿宋_GB2312" w:eastAsia="仿宋_GB2312" w:cs="仿宋_GB2312"/>
          <w:sz w:val="32"/>
          <w:szCs w:val="32"/>
        </w:rPr>
        <w:t>》等法律、法规和国家有关规定，结合行政执法工作实际，制定本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所称重大行政执法决定法制审核，是指执法承办机构在作出重大行政执法决定之前，由</w:t>
      </w:r>
      <w:r>
        <w:rPr>
          <w:rFonts w:hint="eastAsia" w:ascii="仿宋_GB2312" w:hAnsi="仿宋_GB2312" w:eastAsia="仿宋_GB2312" w:cs="仿宋_GB2312"/>
          <w:color w:val="auto"/>
          <w:sz w:val="32"/>
          <w:szCs w:val="32"/>
          <w:lang w:val="en-US" w:eastAsia="zh-CN"/>
        </w:rPr>
        <w:t>区科技局</w:t>
      </w:r>
      <w:r>
        <w:rPr>
          <w:rFonts w:hint="eastAsia" w:ascii="仿宋_GB2312" w:hAnsi="仿宋_GB2312" w:eastAsia="仿宋_GB2312" w:cs="仿宋_GB2312"/>
          <w:sz w:val="32"/>
          <w:szCs w:val="32"/>
        </w:rPr>
        <w:t xml:space="preserve">法制审核机构（以下简称法制审核机构）对其合法性、适当性进行审核的活动。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执法承办机构作出行政处罚等行政执法决定，有下列情形之一的，应当在作出决定前进行法制审核：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（一）可能造成重大社会影响或引发社会风险的；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（二）对法人、其他组织或者个体工商户处以罚款的；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（三）对法人没收违法所得的；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（四）需经听证程序作出行政执法决定的；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（五）案件情况疑难复杂，涉及多个法律关系的；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（六）法律、法规、规章规定的其他情形。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重大行政执法决定法制审核应当遵循公正、公平、合法、及时的原则，做到重大行政执法决定办理、审核、决定相分离。要坚持应审必审、有错必纠，保证重大行政执法决定合法、适当。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lang w:val="en-US" w:eastAsia="zh-CN"/>
        </w:rPr>
        <w:t>区科技局</w:t>
      </w:r>
      <w:r>
        <w:rPr>
          <w:rFonts w:hint="eastAsia" w:ascii="仿宋_GB2312" w:hAnsi="仿宋_GB2312" w:eastAsia="仿宋_GB2312" w:cs="仿宋_GB2312"/>
          <w:sz w:val="32"/>
          <w:szCs w:val="32"/>
        </w:rPr>
        <w:t xml:space="preserve">主要负责人是本机关重大行政执法决定法制审核工作的第一责任人，对本机关作出的重大行政执法决定负责。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对重大行政执法决定进行法制审核是作出决定前的必经程序，未经审核或者审核未通过的，不得作出决定。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法制审核机构应当加强对全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rPr>
        <w:t xml:space="preserve">系统全面推行重大行政执法决定法制审核制度的指导，制定本系统重大行政执法决定法制审核事项的确定标准。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法制审核机构应当根据本办法第三条的规定，结合本机关执法职责、执法层级、执法事项等因素，按照执法类别编制重大行政执法决定法制审核事项清单，并根据实际情况进行动态调整。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重大行政执法决定法制审核事项清单应当报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rPr>
        <w:t xml:space="preserve">司法局备案。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按照本</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rPr>
        <w:t>规定的条件和比例配备</w:t>
      </w:r>
      <w:r>
        <w:rPr>
          <w:rFonts w:hint="eastAsia" w:ascii="仿宋_GB2312" w:hAnsi="仿宋_GB2312" w:eastAsia="仿宋_GB2312" w:cs="仿宋_GB2312"/>
          <w:sz w:val="32"/>
          <w:szCs w:val="32"/>
          <w:lang w:val="en-US" w:eastAsia="zh-CN"/>
        </w:rPr>
        <w:t>专（兼）职</w:t>
      </w:r>
      <w:r>
        <w:rPr>
          <w:rFonts w:hint="eastAsia" w:ascii="仿宋_GB2312" w:hAnsi="仿宋_GB2312" w:eastAsia="仿宋_GB2312" w:cs="仿宋_GB2312"/>
          <w:sz w:val="32"/>
          <w:szCs w:val="32"/>
        </w:rPr>
        <w:t>法制审核人员，并定期</w:t>
      </w:r>
      <w:r>
        <w:rPr>
          <w:rFonts w:hint="eastAsia" w:ascii="仿宋_GB2312" w:hAnsi="仿宋_GB2312" w:eastAsia="仿宋_GB2312" w:cs="仿宋_GB2312"/>
          <w:sz w:val="32"/>
          <w:szCs w:val="32"/>
          <w:lang w:val="en-US" w:eastAsia="zh-CN"/>
        </w:rPr>
        <w:t>参加区</w:t>
      </w:r>
      <w:r>
        <w:rPr>
          <w:rFonts w:hint="eastAsia" w:ascii="仿宋_GB2312" w:hAnsi="仿宋_GB2312" w:eastAsia="仿宋_GB2312" w:cs="仿宋_GB2312"/>
          <w:sz w:val="32"/>
          <w:szCs w:val="32"/>
        </w:rPr>
        <w:t xml:space="preserve">法制审核人员培训。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执法承办机构在送审时应当提交以下材料：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（一）调查终结报告或者有关审查情况报告；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（二）执法决定代拟稿；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（三）作出执法决定的相关依据；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（四）作出执法决定的证据资料；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（五）经听证的，提交听证笔录；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（六）应当提交的其他材料。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法制审核机构认为提交的材料不齐全的，可以要求执法承办机构在指定时间内补充材料，或者退回执法承办机构补充材料后重新提交。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法制审核机构应当对下列内容进行法制审核：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（一）行政执法主体是否合法，行政执法人员是否具备执法资格；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（二）是否超越本机关法定权限；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（三）案件事实是否清楚，证据是否合法充分；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（四）适用法律、法规、规章是否准确；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（五）适用裁量基准是否适当；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（六）行政执法程序是否合法；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（七）行政执法文书是否完备、规范；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（八）违法行为是否涉嫌犯罪需要移送司法机关；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（九）应当审核的其他内容。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法制审核机构应当自收到执法承办机构送审材料之日起五个工作日内完成法制审核。情况复杂的，经市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主要负责人批准可以延长五个工作日。补充材料的时间不计入审核期限。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执法承办机构应当预留法制审核的合理时间，不得因进行法制审核导致作出行政执法决定的期限超出法定办理期限。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法制审核机构完成法制审核后，应当区别情况，提出以下书面审核意见：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（一）符合下列情形的，提出同意的意见：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1.行政执法主体合法；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2.行政执法人员具备执法资格；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3.未超越本机关法定权限；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4.事实认定清楚；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5.证据合法充分；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6.适用法律、法规、规章准确；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7.适用裁量基准适当；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8.程序合法；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9.行政执法文书完备、规范。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（二）有下列情形之一的，提出改正的意见：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1.事实认定、证据和程序有瑕疵；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2.适用法律、法规、规章错误；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3.适用裁量基准不当；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4.行政执法文书不规范。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（三）有下列情形之一的，提出重新调查、补充调查或者不予作出行政执法决定的意见：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1.行政执法主体不合法；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2.行政执法人员不具备执法资格；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3.事实认定不清；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4.主要证据不足；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5.违反法定程序。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（四）超越本机关法定权限或者涉嫌犯罪的，提出移送的意见。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（五）其他意见或者建议。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法制审核意见应当经法制审核机构负责人签字。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重大行政执法决定经法制审核未通过的，执法承办机构应当根据审核意见作出相应处理，再次送法制审核机构审核。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执法承办机构对法制审核意见有异议的，可以自收到审核意见之日起两个工作日内书面向法制审核机构提出复审建议。法制审核机构应当自收到</w:t>
      </w:r>
      <w:bookmarkStart w:id="0" w:name="_GoBack"/>
      <w:bookmarkEnd w:id="0"/>
      <w:r>
        <w:rPr>
          <w:rFonts w:hint="eastAsia" w:ascii="仿宋_GB2312" w:hAnsi="仿宋_GB2312" w:eastAsia="仿宋_GB2312" w:cs="仿宋_GB2312"/>
          <w:sz w:val="32"/>
          <w:szCs w:val="32"/>
        </w:rPr>
        <w:t>书面复审建议之日起两个工作日内提出复审意见。执法承办机构对复审意见仍有异议的，将双方意见一并报请市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主要负责人决定。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执法承办机构对送审材料的真实性、准确性、完整性，以及行政执法的事实、证据、法律适用、程序的合法性负责。 法制审核机构对重大行政执法决定的法制审核意见负责。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执法承办机构送交法制审核时隐瞒真相、提供伪证或者隐匿、毁灭执法证据，或者法制审核机构在审核过程中弄虚作假、玩忽职守、徇私舞弊的，责令改正；情节严重或者造成严重后果的，对负有责任的领导人员和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白碱滩</w:t>
      </w:r>
      <w:r>
        <w:rPr>
          <w:rFonts w:hint="eastAsia" w:ascii="仿宋_GB2312" w:hAnsi="仿宋_GB2312" w:eastAsia="仿宋_GB2312" w:cs="仿宋_GB2312"/>
          <w:sz w:val="32"/>
          <w:szCs w:val="32"/>
          <w:lang w:eastAsia="zh-CN"/>
        </w:rPr>
        <w:t>区科技局</w:t>
      </w:r>
      <w:r>
        <w:rPr>
          <w:rFonts w:hint="eastAsia" w:ascii="仿宋_GB2312" w:hAnsi="仿宋_GB2312" w:eastAsia="仿宋_GB2312" w:cs="仿宋_GB2312"/>
          <w:sz w:val="32"/>
          <w:szCs w:val="32"/>
        </w:rPr>
        <w:t xml:space="preserve">负责解释。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F6F4002"/>
    <w:rsid w:val="00447B9E"/>
    <w:rsid w:val="02411D13"/>
    <w:rsid w:val="02BB30AB"/>
    <w:rsid w:val="03BF27EC"/>
    <w:rsid w:val="065A24E5"/>
    <w:rsid w:val="083364FE"/>
    <w:rsid w:val="08904BB1"/>
    <w:rsid w:val="097142D3"/>
    <w:rsid w:val="0B3B4951"/>
    <w:rsid w:val="0BDE3481"/>
    <w:rsid w:val="0F3600A4"/>
    <w:rsid w:val="0F6F4002"/>
    <w:rsid w:val="10D64603"/>
    <w:rsid w:val="15D25560"/>
    <w:rsid w:val="213E199B"/>
    <w:rsid w:val="27E918F4"/>
    <w:rsid w:val="2C87236D"/>
    <w:rsid w:val="2FBE33AF"/>
    <w:rsid w:val="3BBD533E"/>
    <w:rsid w:val="3C470949"/>
    <w:rsid w:val="3CDB6821"/>
    <w:rsid w:val="3DF85022"/>
    <w:rsid w:val="3DFF6359"/>
    <w:rsid w:val="3FED5056"/>
    <w:rsid w:val="442E23F7"/>
    <w:rsid w:val="460B2E01"/>
    <w:rsid w:val="496175BF"/>
    <w:rsid w:val="4EBB2A04"/>
    <w:rsid w:val="4FA417BF"/>
    <w:rsid w:val="53B11AE4"/>
    <w:rsid w:val="551505C3"/>
    <w:rsid w:val="5A360FB8"/>
    <w:rsid w:val="5A4A5186"/>
    <w:rsid w:val="5B100499"/>
    <w:rsid w:val="5C070A50"/>
    <w:rsid w:val="5EDD67EA"/>
    <w:rsid w:val="6AD83D4B"/>
    <w:rsid w:val="6AEA3C30"/>
    <w:rsid w:val="6B702440"/>
    <w:rsid w:val="6BBF7C4E"/>
    <w:rsid w:val="7B0F0234"/>
    <w:rsid w:val="7EC23627"/>
    <w:rsid w:val="7EC532D7"/>
    <w:rsid w:val="7F3C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2169</Words>
  <Characters>2187</Characters>
  <Lines>0</Lines>
  <Paragraphs>0</Paragraphs>
  <TotalTime>4</TotalTime>
  <ScaleCrop>false</ScaleCrop>
  <LinksUpToDate>false</LinksUpToDate>
  <CharactersWithSpaces>2269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2020-10-10T15:34:00Z</dcterms:created>
  <dc:creator>Administrator</dc:creator>
  <cp:lastModifiedBy>user</cp:lastModifiedBy>
  <cp:lastPrinted>2020-12-03T10:48:00Z</cp:lastPrinted>
  <dcterms:modified xsi:type="dcterms:W3CDTF">2024-06-14T12:45:17Z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A1234234049B40CEBEE94642A241EE75_13</vt:lpwstr>
  </property>
</Properties>
</file>